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18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offer</w:t>
            </w: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333-263730</w:t>
            </w: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gridSpan w:val="17"/>
            <w:vMerge w:val="restart"/>
          </w:tcPr>
          <w:p>
            <w:pPr>
              <w:jc w:val="center"/>
              <w:ind w:left="235"/>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February 24, 2025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180" w:type="dxa"/>
            <w:vAlign w:val="bottom"/>
            <w:gridSpan w:val="17"/>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00" w:type="dxa"/>
            <w:vAlign w:val="bottom"/>
            <w:vMerge w:val="restart"/>
            <w:textDirection w:val="btLr"/>
          </w:tcPr>
          <w:p>
            <w:pPr>
              <w:ind w:left="174"/>
              <w:spacing w:after="0"/>
              <w:rPr>
                <w:sz w:val="20"/>
                <w:szCs w:val="20"/>
                <w:color w:val="auto"/>
              </w:rPr>
            </w:pPr>
            <w:r>
              <w:rPr>
                <w:rFonts w:ascii="Times New Roman" w:cs="Times New Roman" w:eastAsia="Times New Roman" w:hAnsi="Times New Roman"/>
                <w:sz w:val="11"/>
                <w:szCs w:val="11"/>
                <w:b w:val="1"/>
                <w:bCs w:val="1"/>
                <w:color w:val="FF4338"/>
                <w:w w:val="75"/>
              </w:rPr>
              <w:t>preliminaryprospectussupplement and the</w:t>
            </w:r>
          </w:p>
        </w:tc>
        <w:tc>
          <w:tcPr>
            <w:tcW w:w="220" w:type="dxa"/>
            <w:vAlign w:val="bottom"/>
            <w:vMerge w:val="restart"/>
            <w:textDirection w:val="btLr"/>
          </w:tcPr>
          <w:p>
            <w:pPr>
              <w:ind w:left="82"/>
              <w:spacing w:after="0"/>
              <w:rPr>
                <w:sz w:val="20"/>
                <w:szCs w:val="20"/>
                <w:color w:val="auto"/>
              </w:rPr>
            </w:pPr>
            <w:r>
              <w:rPr>
                <w:rFonts w:ascii="Times New Roman" w:cs="Times New Roman" w:eastAsia="Times New Roman" w:hAnsi="Times New Roman"/>
                <w:sz w:val="12"/>
                <w:szCs w:val="12"/>
                <w:b w:val="1"/>
                <w:bCs w:val="1"/>
                <w:color w:val="FF4338"/>
                <w:w w:val="73"/>
              </w:rPr>
              <w:t>thesesecuritiesinanyjurisdictionwhere the</w:t>
            </w:r>
          </w:p>
        </w:tc>
        <w:tc>
          <w:tcPr>
            <w:tcW w:w="460" w:type="dxa"/>
            <w:vAlign w:val="bottom"/>
          </w:tcPr>
          <w:p>
            <w:pPr>
              <w:spacing w:after="0"/>
              <w:rPr>
                <w:sz w:val="22"/>
                <w:szCs w:val="22"/>
                <w:color w:val="auto"/>
              </w:rPr>
            </w:pPr>
          </w:p>
        </w:tc>
        <w:tc>
          <w:tcPr>
            <w:tcW w:w="3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460" w:type="dxa"/>
            <w:vAlign w:val="bottom"/>
          </w:tcPr>
          <w:p>
            <w:pPr>
              <w:spacing w:after="0"/>
              <w:rPr>
                <w:sz w:val="22"/>
                <w:szCs w:val="22"/>
                <w:color w:val="auto"/>
              </w:rPr>
            </w:pPr>
          </w:p>
        </w:tc>
        <w:tc>
          <w:tcPr>
            <w:tcW w:w="3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(To prospectus dated March 21, 2022)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4"/>
        </w:trPr>
        <w:tc>
          <w:tcPr>
            <w:tcW w:w="30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4"/>
              </w:rPr>
              <w:t>principal amount of our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8280" w:type="dxa"/>
            <w:vAlign w:val="bottom"/>
            <w:gridSpan w:val="26"/>
          </w:tcPr>
          <w:p>
            <w:pPr>
              <w:jc w:val="right"/>
              <w:ind w:right="1260"/>
              <w:spacing w:after="0"/>
              <w:rPr>
                <w:sz w:val="20"/>
                <w:szCs w:val="20"/>
                <w:color w:val="auto"/>
              </w:rPr>
            </w:pPr>
            <w:r>
              <w:rPr>
                <w:rFonts w:ascii="Times New Roman" w:cs="Times New Roman" w:eastAsia="Times New Roman" w:hAnsi="Times New Roman"/>
                <w:sz w:val="16"/>
                <w:szCs w:val="16"/>
                <w:color w:val="auto"/>
              </w:rPr>
              <w:t>   % Senior Notes due 2055 (the “2055 notes”). In this prospectus supplement, the term “notes” collectively</w:t>
            </w:r>
          </w:p>
        </w:tc>
        <w:tc>
          <w:tcPr>
            <w:tcW w:w="0" w:type="dxa"/>
            <w:vAlign w:val="bottom"/>
          </w:tcPr>
          <w:p>
            <w:pPr>
              <w:spacing w:after="0"/>
              <w:rPr>
                <w:sz w:val="1"/>
                <w:szCs w:val="1"/>
                <w:color w:val="auto"/>
              </w:rPr>
            </w:pPr>
          </w:p>
        </w:tc>
      </w:tr>
      <w:tr>
        <w:trPr>
          <w:trHeight w:val="479"/>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15"/>
          </w:tcPr>
          <w:p>
            <w:pPr>
              <w:jc w:val="center"/>
              <w:ind w:left="875"/>
              <w:spacing w:after="0"/>
              <w:rPr>
                <w:sz w:val="20"/>
                <w:szCs w:val="20"/>
                <w:color w:val="auto"/>
              </w:rPr>
            </w:pPr>
            <w:r>
              <w:rPr>
                <w:rFonts w:ascii="Times New Roman" w:cs="Times New Roman" w:eastAsia="Times New Roman" w:hAnsi="Times New Roman"/>
                <w:sz w:val="36"/>
                <w:szCs w:val="36"/>
                <w:b w:val="1"/>
                <w:bCs w:val="1"/>
                <w:color w:val="auto"/>
                <w:w w:val="98"/>
              </w:rPr>
              <w:t>Targa Resources Corp.</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left="975"/>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580" w:type="dxa"/>
            <w:vAlign w:val="bottom"/>
            <w:gridSpan w:val="8"/>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 Senior Notes due 2035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center"/>
              <w:ind w:left="975"/>
              <w:spacing w:after="0"/>
              <w:rPr>
                <w:sz w:val="20"/>
                <w:szCs w:val="20"/>
                <w:color w:val="auto"/>
              </w:rPr>
            </w:pPr>
            <w:r>
              <w:rPr>
                <w:rFonts w:ascii="Times New Roman" w:cs="Times New Roman" w:eastAsia="Times New Roman" w:hAnsi="Times New Roman"/>
                <w:sz w:val="22"/>
                <w:szCs w:val="22"/>
                <w:b w:val="1"/>
                <w:bCs w:val="1"/>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580" w:type="dxa"/>
            <w:vAlign w:val="bottom"/>
            <w:gridSpan w:val="8"/>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 Senior Notes due 2055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gridSpan w:val="2"/>
          </w:tcPr>
          <w:p>
            <w:pPr>
              <w:spacing w:after="0"/>
              <w:rPr>
                <w:sz w:val="18"/>
                <w:szCs w:val="18"/>
                <w:color w:val="auto"/>
              </w:rPr>
            </w:pPr>
          </w:p>
        </w:tc>
        <w:tc>
          <w:tcPr>
            <w:tcW w:w="660" w:type="dxa"/>
            <w:vAlign w:val="bottom"/>
            <w:gridSpan w:val="3"/>
          </w:tcPr>
          <w:p>
            <w:pPr>
              <w:spacing w:after="0"/>
              <w:rPr>
                <w:sz w:val="18"/>
                <w:szCs w:val="18"/>
                <w:color w:val="auto"/>
              </w:rPr>
            </w:pPr>
          </w:p>
        </w:tc>
        <w:tc>
          <w:tcPr>
            <w:tcW w:w="5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auto"/>
              </w:rPr>
              <w:t xml:space="preserve">We are offering $ </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6280" w:type="dxa"/>
            <w:vAlign w:val="bottom"/>
            <w:gridSpan w:val="21"/>
          </w:tcPr>
          <w:p>
            <w:pPr>
              <w:jc w:val="right"/>
              <w:spacing w:after="0"/>
              <w:rPr>
                <w:sz w:val="20"/>
                <w:szCs w:val="20"/>
                <w:color w:val="auto"/>
              </w:rPr>
            </w:pPr>
            <w:r>
              <w:rPr>
                <w:rFonts w:ascii="Times New Roman" w:cs="Times New Roman" w:eastAsia="Times New Roman" w:hAnsi="Times New Roman"/>
                <w:sz w:val="16"/>
                <w:szCs w:val="16"/>
                <w:color w:val="auto"/>
              </w:rPr>
              <w:t xml:space="preserve">aggregate principal amount of our          % Senior Notes due 2035 (the “2035 notes”) and $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1700" w:type="dxa"/>
            <w:vAlign w:val="bottom"/>
            <w:gridSpan w:val="3"/>
          </w:tcPr>
          <w:p>
            <w:pPr>
              <w:jc w:val="right"/>
              <w:ind w:right="960"/>
              <w:spacing w:after="0"/>
              <w:rPr>
                <w:sz w:val="20"/>
                <w:szCs w:val="20"/>
                <w:color w:val="auto"/>
              </w:rPr>
            </w:pPr>
            <w:r>
              <w:rPr>
                <w:rFonts w:ascii="Times New Roman" w:cs="Times New Roman" w:eastAsia="Times New Roman" w:hAnsi="Times New Roman"/>
                <w:sz w:val="16"/>
                <w:szCs w:val="16"/>
                <w:color w:val="auto"/>
              </w:rPr>
              <w:t>aggregate</w:t>
            </w:r>
          </w:p>
        </w:tc>
        <w:tc>
          <w:tcPr>
            <w:tcW w:w="0" w:type="dxa"/>
            <w:vAlign w:val="bottom"/>
          </w:tcPr>
          <w:p>
            <w:pPr>
              <w:spacing w:after="0"/>
              <w:rPr>
                <w:sz w:val="1"/>
                <w:szCs w:val="1"/>
                <w:color w:val="auto"/>
              </w:rPr>
            </w:pPr>
          </w:p>
        </w:tc>
      </w:tr>
      <w:tr>
        <w:trPr>
          <w:trHeight w:val="405"/>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9"/>
              </w:rPr>
              <w:t>This</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w w:val="96"/>
              </w:rPr>
              <w:t>buy</w:t>
            </w:r>
          </w:p>
        </w:tc>
        <w:tc>
          <w:tcPr>
            <w:tcW w:w="460" w:type="dxa"/>
            <w:vAlign w:val="bottom"/>
          </w:tcPr>
          <w:p>
            <w:pPr>
              <w:spacing w:after="0"/>
              <w:rPr>
                <w:sz w:val="24"/>
                <w:szCs w:val="24"/>
                <w:color w:val="auto"/>
              </w:rPr>
            </w:pPr>
          </w:p>
        </w:tc>
        <w:tc>
          <w:tcPr>
            <w:tcW w:w="3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refers to the 2035 notes and the 2055 notes.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auto"/>
                <w:w w:val="96"/>
              </w:rPr>
              <w:t>The 2035 notes will bear interest at the rate of </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w w:val="71"/>
              </w:rPr>
              <w:t> </w:t>
            </w:r>
          </w:p>
        </w:tc>
        <w:tc>
          <w:tcPr>
            <w:tcW w:w="40" w:type="dxa"/>
            <w:vAlign w:val="bottom"/>
          </w:tcPr>
          <w:p>
            <w:pPr>
              <w:spacing w:after="0"/>
              <w:rPr>
                <w:sz w:val="13"/>
                <w:szCs w:val="13"/>
                <w:color w:val="auto"/>
              </w:rPr>
            </w:pPr>
          </w:p>
        </w:tc>
        <w:tc>
          <w:tcPr>
            <w:tcW w:w="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w w:val="87"/>
              </w:rPr>
              <w:t> </w:t>
            </w:r>
          </w:p>
        </w:tc>
        <w:tc>
          <w:tcPr>
            <w:tcW w:w="20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w w:val="97"/>
              </w:rPr>
              <w:t>% per year and will mature on </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3740" w:type="dxa"/>
            <w:vAlign w:val="bottom"/>
            <w:gridSpan w:val="11"/>
            <w:vMerge w:val="restart"/>
          </w:tcPr>
          <w:p>
            <w:pPr>
              <w:jc w:val="right"/>
              <w:ind w:right="940"/>
              <w:spacing w:after="0"/>
              <w:rPr>
                <w:sz w:val="20"/>
                <w:szCs w:val="20"/>
                <w:color w:val="auto"/>
              </w:rPr>
            </w:pPr>
            <w:r>
              <w:rPr>
                <w:rFonts w:ascii="Times New Roman" w:cs="Times New Roman" w:eastAsia="Times New Roman" w:hAnsi="Times New Roman"/>
                <w:sz w:val="16"/>
                <w:szCs w:val="16"/>
                <w:color w:val="auto"/>
                <w:w w:val="98"/>
              </w:rPr>
              <w:t>   , 2035. The 2055 notes will bear interest</w:t>
            </w:r>
          </w:p>
        </w:tc>
        <w:tc>
          <w:tcPr>
            <w:tcW w:w="0" w:type="dxa"/>
            <w:vAlign w:val="bottom"/>
          </w:tcPr>
          <w:p>
            <w:pPr>
              <w:spacing w:after="0"/>
              <w:rPr>
                <w:sz w:val="1"/>
                <w:szCs w:val="1"/>
                <w:color w:val="auto"/>
              </w:rPr>
            </w:pPr>
          </w:p>
        </w:tc>
      </w:tr>
      <w:tr>
        <w:trPr>
          <w:trHeight w:val="152"/>
        </w:trPr>
        <w:tc>
          <w:tcPr>
            <w:tcW w:w="300" w:type="dxa"/>
            <w:vAlign w:val="bottom"/>
            <w:vMerge w:val="restart"/>
            <w:textDirection w:val="btLr"/>
          </w:tcPr>
          <w:p>
            <w:pPr>
              <w:ind w:left="231"/>
              <w:spacing w:after="0"/>
              <w:rPr>
                <w:sz w:val="20"/>
                <w:szCs w:val="20"/>
                <w:color w:val="auto"/>
              </w:rPr>
            </w:pPr>
            <w:r>
              <w:rPr>
                <w:rFonts w:ascii="Times New Roman" w:cs="Times New Roman" w:eastAsia="Times New Roman" w:hAnsi="Times New Roman"/>
                <w:sz w:val="6"/>
                <w:szCs w:val="6"/>
                <w:b w:val="1"/>
                <w:bCs w:val="1"/>
                <w:color w:val="FF4338"/>
                <w:w w:val="80"/>
              </w:rPr>
              <w:t>maybechanged.</w:t>
            </w:r>
          </w:p>
        </w:tc>
        <w:tc>
          <w:tcPr>
            <w:tcW w:w="22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6"/>
                <w:szCs w:val="6"/>
                <w:b w:val="1"/>
                <w:bCs w:val="1"/>
                <w:color w:val="FF4338"/>
                <w:w w:val="74"/>
              </w:rPr>
              <w:t>solicitingoffersto</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80" w:type="dxa"/>
            <w:vAlign w:val="bottom"/>
            <w:gridSpan w:val="8"/>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2060" w:type="dxa"/>
            <w:vAlign w:val="bottom"/>
            <w:gridSpan w:val="5"/>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7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w w:val="87"/>
              </w:rPr>
              <w:t>at the rate of </w:t>
            </w:r>
          </w:p>
        </w:tc>
        <w:tc>
          <w:tcPr>
            <w:tcW w:w="25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color w:val="auto"/>
                <w:w w:val="97"/>
              </w:rPr>
              <w:t>      % per year and will mature on </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4320" w:type="dxa"/>
            <w:vAlign w:val="bottom"/>
            <w:gridSpan w:val="14"/>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   , 2055. Interest on the notes will be payable semi-annually on </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2540" w:type="dxa"/>
            <w:vAlign w:val="bottom"/>
            <w:gridSpan w:val="5"/>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4320" w:type="dxa"/>
            <w:vAlign w:val="bottom"/>
            <w:gridSpan w:val="14"/>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w w:val="76"/>
              </w:rPr>
              <w:t>and 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 xml:space="preserve">of each year, beginning on 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87"/>
              </w:rPr>
              <w:t> </w:t>
            </w:r>
          </w:p>
        </w:tc>
        <w:tc>
          <w:tcPr>
            <w:tcW w:w="12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 2025.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40" w:type="dxa"/>
            <w:vAlign w:val="bottom"/>
            <w:gridSpan w:val="32"/>
          </w:tcPr>
          <w:p>
            <w:pPr>
              <w:ind w:left="60"/>
              <w:spacing w:after="0"/>
              <w:rPr>
                <w:sz w:val="20"/>
                <w:szCs w:val="20"/>
                <w:color w:val="auto"/>
              </w:rPr>
            </w:pPr>
            <w:r>
              <w:rPr>
                <w:rFonts w:ascii="Times New Roman" w:cs="Times New Roman" w:eastAsia="Times New Roman" w:hAnsi="Times New Roman"/>
                <w:sz w:val="16"/>
                <w:szCs w:val="16"/>
                <w:color w:val="auto"/>
              </w:rPr>
              <w:t>We may redeem some or all of each series of the notes at our option at any time and from time to time prior to their maturity at the</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6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applicable redemption prices set forth in this prospectus supplement, plus accrued and unpaid interest. Please read the section entitled</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6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Description of the Notes—Optional Redemption.</w:t>
            </w:r>
            <w:r>
              <w:rPr>
                <w:rFonts w:ascii="Times New Roman" w:cs="Times New Roman" w:eastAsia="Times New Roman" w:hAnsi="Times New Roman"/>
                <w:sz w:val="16"/>
                <w:szCs w:val="16"/>
                <w:color w:val="auto"/>
              </w:rPr>
              <w:t>” There will be no mandatory redemption or sinking fund payments for the notes or</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w w:val="96"/>
              </w:rPr>
              <w:t>and</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not</w:t>
            </w:r>
          </w:p>
        </w:tc>
        <w:tc>
          <w:tcPr>
            <w:tcW w:w="460" w:type="dxa"/>
            <w:vAlign w:val="bottom"/>
          </w:tcPr>
          <w:p>
            <w:pPr>
              <w:spacing w:after="0"/>
              <w:rPr>
                <w:sz w:val="18"/>
                <w:szCs w:val="18"/>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requirement to repurchase the notes at the option of the holders.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40" w:type="dxa"/>
            <w:vAlign w:val="bottom"/>
            <w:gridSpan w:val="32"/>
            <w:vMerge w:val="restart"/>
          </w:tcPr>
          <w:p>
            <w:pPr>
              <w:ind w:left="60"/>
              <w:spacing w:after="0"/>
              <w:rPr>
                <w:sz w:val="20"/>
                <w:szCs w:val="20"/>
                <w:color w:val="auto"/>
              </w:rPr>
            </w:pPr>
            <w:r>
              <w:rPr>
                <w:rFonts w:ascii="Times New Roman" w:cs="Times New Roman" w:eastAsia="Times New Roman" w:hAnsi="Times New Roman"/>
                <w:sz w:val="16"/>
                <w:szCs w:val="16"/>
                <w:color w:val="auto"/>
              </w:rPr>
              <w:t>We expect to use a portion of the net proceeds from this offering to fund the Badlands Transaction (as defined herein) and to use the</w:t>
            </w:r>
          </w:p>
        </w:tc>
        <w:tc>
          <w:tcPr>
            <w:tcW w:w="0" w:type="dxa"/>
            <w:vAlign w:val="bottom"/>
          </w:tcPr>
          <w:p>
            <w:pPr>
              <w:spacing w:after="0"/>
              <w:rPr>
                <w:sz w:val="1"/>
                <w:szCs w:val="1"/>
                <w:color w:val="auto"/>
              </w:rPr>
            </w:pPr>
          </w:p>
        </w:tc>
      </w:tr>
      <w:tr>
        <w:trPr>
          <w:trHeight w:val="117"/>
        </w:trPr>
        <w:tc>
          <w:tcPr>
            <w:tcW w:w="300" w:type="dxa"/>
            <w:vAlign w:val="bottom"/>
            <w:vMerge w:val="restart"/>
            <w:textDirection w:val="btLr"/>
          </w:tcPr>
          <w:p>
            <w:pPr>
              <w:ind w:left="220"/>
              <w:spacing w:after="0"/>
              <w:rPr>
                <w:sz w:val="20"/>
                <w:szCs w:val="20"/>
                <w:color w:val="auto"/>
              </w:rPr>
            </w:pPr>
            <w:r>
              <w:rPr>
                <w:rFonts w:ascii="Times New Roman" w:cs="Times New Roman" w:eastAsia="Times New Roman" w:hAnsi="Times New Roman"/>
                <w:sz w:val="7"/>
                <w:szCs w:val="7"/>
                <w:b w:val="1"/>
                <w:bCs w:val="1"/>
                <w:color w:val="FF4338"/>
                <w:w w:val="76"/>
              </w:rPr>
              <w:t>notcomplete</w:t>
            </w:r>
          </w:p>
        </w:tc>
        <w:tc>
          <w:tcPr>
            <w:tcW w:w="220" w:type="dxa"/>
            <w:vAlign w:val="bottom"/>
            <w:vMerge w:val="restart"/>
            <w:textDirection w:val="btLr"/>
          </w:tcPr>
          <w:p>
            <w:pPr>
              <w:ind w:left="128"/>
              <w:spacing w:after="0"/>
              <w:rPr>
                <w:sz w:val="20"/>
                <w:szCs w:val="20"/>
                <w:color w:val="auto"/>
              </w:rPr>
            </w:pPr>
            <w:r>
              <w:rPr>
                <w:rFonts w:ascii="Times New Roman" w:cs="Times New Roman" w:eastAsia="Times New Roman" w:hAnsi="Times New Roman"/>
                <w:sz w:val="8"/>
                <w:szCs w:val="8"/>
                <w:b w:val="1"/>
                <w:bCs w:val="1"/>
                <w:color w:val="FF4338"/>
                <w:w w:val="72"/>
              </w:rPr>
              <w:t>andtheyare</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40" w:type="dxa"/>
            <w:vAlign w:val="bottom"/>
            <w:gridSpan w:val="3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160" w:type="dxa"/>
            <w:vAlign w:val="bottom"/>
            <w:gridSpan w:val="33"/>
            <w:vMerge w:val="restart"/>
          </w:tcPr>
          <w:p>
            <w:pPr>
              <w:spacing w:after="0"/>
              <w:rPr>
                <w:sz w:val="20"/>
                <w:szCs w:val="20"/>
                <w:color w:val="auto"/>
              </w:rPr>
            </w:pPr>
            <w:r>
              <w:rPr>
                <w:rFonts w:ascii="Times New Roman" w:cs="Times New Roman" w:eastAsia="Times New Roman" w:hAnsi="Times New Roman"/>
                <w:sz w:val="16"/>
                <w:szCs w:val="16"/>
                <w:color w:val="auto"/>
              </w:rPr>
              <w:t>remaining net proceeds from this offering for general corporate purposes, including to repay borrowings under our unsecured commercial</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160" w:type="dxa"/>
            <w:vAlign w:val="bottom"/>
            <w:gridSpan w:val="3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paper note program (the “Commercial Paper Program”). If we do not complete the Badlands Transaction, we expect to use the net proceeds</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60" w:type="dxa"/>
            <w:vAlign w:val="bottom"/>
            <w:gridSpan w:val="31"/>
          </w:tcPr>
          <w:p>
            <w:pPr>
              <w:spacing w:after="0"/>
              <w:rPr>
                <w:sz w:val="20"/>
                <w:szCs w:val="20"/>
                <w:color w:val="auto"/>
              </w:rPr>
            </w:pPr>
            <w:r>
              <w:rPr>
                <w:rFonts w:ascii="Times New Roman" w:cs="Times New Roman" w:eastAsia="Times New Roman" w:hAnsi="Times New Roman"/>
                <w:sz w:val="16"/>
                <w:szCs w:val="16"/>
                <w:color w:val="auto"/>
              </w:rPr>
              <w:t>from this offering for general corporate purposes, including to repay borrowings under our Commercial Paper Program, repay other</w:t>
            </w: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w w:val="97"/>
              </w:rPr>
              <w:t>Theinformationinthispreliminaryprospectussupplementis</w:t>
            </w:r>
          </w:p>
        </w:tc>
        <w:tc>
          <w:tcPr>
            <w:tcW w:w="220" w:type="dxa"/>
            <w:vAlign w:val="bottom"/>
            <w:vMerge w:val="restart"/>
            <w:textDirection w:val="btLr"/>
          </w:tcPr>
          <w:p>
            <w:pPr>
              <w:ind w:left="197"/>
              <w:spacing w:after="0"/>
              <w:rPr>
                <w:sz w:val="20"/>
                <w:szCs w:val="20"/>
                <w:color w:val="auto"/>
              </w:rPr>
            </w:pPr>
            <w:r>
              <w:rPr>
                <w:rFonts w:ascii="Times New Roman" w:cs="Times New Roman" w:eastAsia="Times New Roman" w:hAnsi="Times New Roman"/>
                <w:sz w:val="2"/>
                <w:szCs w:val="2"/>
                <w:b w:val="1"/>
                <w:bCs w:val="1"/>
                <w:color w:val="FF4338"/>
                <w:w w:val="98"/>
              </w:rPr>
              <w:t>accompanyingprospectusarenotofferstosellthesesecurities</w:t>
            </w:r>
          </w:p>
        </w:tc>
        <w:tc>
          <w:tcPr>
            <w:tcW w:w="460" w:type="dxa"/>
            <w:vAlign w:val="bottom"/>
            <w:vMerge w:val="restart"/>
            <w:textDirection w:val="btLr"/>
          </w:tcPr>
          <w:p>
            <w:pPr>
              <w:ind w:left="164"/>
              <w:spacing w:after="0"/>
              <w:rPr>
                <w:sz w:val="20"/>
                <w:szCs w:val="20"/>
                <w:color w:val="auto"/>
              </w:rPr>
            </w:pPr>
            <w:r>
              <w:rPr>
                <w:rFonts w:ascii="Times New Roman" w:cs="Times New Roman" w:eastAsia="Times New Roman" w:hAnsi="Times New Roman"/>
                <w:sz w:val="7"/>
                <w:szCs w:val="7"/>
                <w:b w:val="1"/>
                <w:bCs w:val="1"/>
                <w:color w:val="FF4338"/>
                <w:w w:val="75"/>
              </w:rPr>
              <w:t>orsaleisnotpermitted.</w:t>
            </w:r>
          </w:p>
        </w:tc>
        <w:tc>
          <w:tcPr>
            <w:tcW w:w="75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indebtedness, for capital expenditures, for additions to working capital and for investments in our subsidiaries.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9840" w:type="dxa"/>
            <w:vAlign w:val="bottom"/>
            <w:gridSpan w:val="32"/>
            <w:vMerge w:val="restart"/>
          </w:tcPr>
          <w:p>
            <w:pPr>
              <w:ind w:left="60"/>
              <w:spacing w:after="0"/>
              <w:rPr>
                <w:sz w:val="20"/>
                <w:szCs w:val="20"/>
                <w:color w:val="auto"/>
              </w:rPr>
            </w:pPr>
            <w:r>
              <w:rPr>
                <w:rFonts w:ascii="Times New Roman" w:cs="Times New Roman" w:eastAsia="Times New Roman" w:hAnsi="Times New Roman"/>
                <w:sz w:val="16"/>
                <w:szCs w:val="16"/>
                <w:color w:val="auto"/>
              </w:rPr>
              <w:t>The notes will be our senior unsecured obligations and will rank equally in right of payment with our current and future unsecured senior</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40" w:type="dxa"/>
            <w:vAlign w:val="bottom"/>
            <w:gridSpan w:val="3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debt, including debt under our revolving credit facility and the Commercial Paper Program, and senior in right of payment to any future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subordinated debt that we may incur. The notes will initially be fully and unconditionally guaranteed, jointly and severally, on a senior</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unsecured basis by certain of our subsidiaries (each, a “guarantor”). Each guarantee will rank equally in right of payment with all of such</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guarantor’s existing and future unsecured senior debt and other unsecured guarantees of senior debt. The notes and the guarantees will be</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effectively junior to any secured indebtedness of ours or any guarantor to the extent of the value of the assets securing such indebtedness and</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8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structurally subordinated to all indebtedness and other obligations of our subsidiaries that do not guarantee the notes.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40" w:type="dxa"/>
            <w:vAlign w:val="bottom"/>
            <w:gridSpan w:val="32"/>
          </w:tcPr>
          <w:p>
            <w:pPr>
              <w:ind w:left="60"/>
              <w:spacing w:after="0"/>
              <w:rPr>
                <w:sz w:val="20"/>
                <w:szCs w:val="20"/>
                <w:color w:val="auto"/>
              </w:rPr>
            </w:pPr>
            <w:r>
              <w:rPr>
                <w:rFonts w:ascii="Times New Roman" w:cs="Times New Roman" w:eastAsia="Times New Roman" w:hAnsi="Times New Roman"/>
                <w:sz w:val="16"/>
                <w:szCs w:val="16"/>
                <w:color w:val="auto"/>
              </w:rPr>
              <w:t>Each series of the notes is a new issue of securities with no established trading market. We do not intend to apply for the listing of the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notes on any securities exchange or for the quotation of the notes on any automated dealer quotation system.</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40" w:type="dxa"/>
            <w:vAlign w:val="bottom"/>
            <w:gridSpan w:val="32"/>
          </w:tcPr>
          <w:p>
            <w:pPr>
              <w:ind w:left="60"/>
              <w:spacing w:after="0"/>
              <w:rPr>
                <w:sz w:val="20"/>
                <w:szCs w:val="20"/>
                <w:color w:val="auto"/>
              </w:rPr>
            </w:pPr>
            <w:r>
              <w:rPr>
                <w:rFonts w:ascii="Times New Roman" w:cs="Times New Roman" w:eastAsia="Times New Roman" w:hAnsi="Times New Roman"/>
                <w:sz w:val="16"/>
                <w:szCs w:val="16"/>
                <w:color w:val="auto"/>
              </w:rPr>
              <w:t>Neither the U.S. Securities and Exchange Commission (the “SEC” or the “Commission”) nor any state securities commission has</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approved or disapproved of these securities or determined if this prospectus supplement or the accompanying base prospectus is truthful or</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complete. Any representation to the contrary is a criminal offense.</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2680" w:type="dxa"/>
            <w:vAlign w:val="bottom"/>
            <w:gridSpan w:val="7"/>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gridSpan w:val="2"/>
          </w:tcPr>
          <w:p>
            <w:pPr>
              <w:spacing w:after="0"/>
              <w:rPr>
                <w:sz w:val="20"/>
                <w:szCs w:val="20"/>
                <w:color w:val="auto"/>
              </w:rPr>
            </w:pPr>
          </w:p>
        </w:tc>
        <w:tc>
          <w:tcPr>
            <w:tcW w:w="660" w:type="dxa"/>
            <w:vAlign w:val="bottom"/>
            <w:gridSpan w:val="3"/>
          </w:tcPr>
          <w:p>
            <w:pPr>
              <w:spacing w:after="0"/>
              <w:rPr>
                <w:sz w:val="20"/>
                <w:szCs w:val="20"/>
                <w:color w:val="auto"/>
              </w:rPr>
            </w:pPr>
          </w:p>
        </w:tc>
        <w:tc>
          <w:tcPr>
            <w:tcW w:w="50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560" w:type="dxa"/>
            <w:vAlign w:val="bottom"/>
            <w:gridSpan w:val="2"/>
          </w:tcPr>
          <w:p>
            <w:pPr>
              <w:spacing w:after="0"/>
              <w:rPr>
                <w:sz w:val="20"/>
                <w:szCs w:val="20"/>
                <w:color w:val="auto"/>
              </w:rPr>
            </w:pPr>
          </w:p>
        </w:tc>
        <w:tc>
          <w:tcPr>
            <w:tcW w:w="680" w:type="dxa"/>
            <w:vAlign w:val="bottom"/>
            <w:gridSpan w:val="3"/>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40" w:type="dxa"/>
            <w:vAlign w:val="bottom"/>
            <w:gridSpan w:val="32"/>
          </w:tcPr>
          <w:p>
            <w:pPr>
              <w:ind w:left="60"/>
              <w:spacing w:after="0"/>
              <w:rPr>
                <w:sz w:val="20"/>
                <w:szCs w:val="20"/>
                <w:color w:val="auto"/>
              </w:rPr>
            </w:pPr>
            <w:r>
              <w:rPr>
                <w:rFonts w:ascii="Times New Roman" w:cs="Times New Roman" w:eastAsia="Times New Roman" w:hAnsi="Times New Roman"/>
                <w:sz w:val="16"/>
                <w:szCs w:val="16"/>
                <w:b w:val="1"/>
                <w:bCs w:val="1"/>
                <w:color w:val="auto"/>
              </w:rPr>
              <w:t>Investing in the notes involves risks. Please read “</w:t>
            </w:r>
            <w:r>
              <w:rPr>
                <w:rFonts w:ascii="Times New Roman" w:cs="Times New Roman" w:eastAsia="Times New Roman" w:hAnsi="Times New Roman"/>
                <w:sz w:val="16"/>
                <w:szCs w:val="16"/>
                <w:b w:val="1"/>
                <w:bCs w:val="1"/>
                <w:i w:val="1"/>
                <w:iCs w:val="1"/>
                <w:color w:val="0000EE"/>
              </w:rPr>
              <w:t>Risk Factors</w:t>
            </w:r>
            <w:r>
              <w:rPr>
                <w:rFonts w:ascii="Times New Roman" w:cs="Times New Roman" w:eastAsia="Times New Roman" w:hAnsi="Times New Roman"/>
                <w:sz w:val="16"/>
                <w:szCs w:val="16"/>
                <w:b w:val="1"/>
                <w:bCs w:val="1"/>
                <w:color w:val="auto"/>
              </w:rPr>
              <w:t>” beginning on page S-6 of this prospectus supplement and on page</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6 of the accompanying base prospectus.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2035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 2035</w:t>
            </w:r>
          </w:p>
        </w:tc>
        <w:tc>
          <w:tcPr>
            <w:tcW w:w="60" w:type="dxa"/>
            <w:vAlign w:val="bottom"/>
          </w:tcPr>
          <w:p>
            <w:pPr>
              <w:spacing w:after="0"/>
              <w:rPr>
                <w:sz w:val="21"/>
                <w:szCs w:val="21"/>
                <w:color w:val="auto"/>
              </w:rPr>
            </w:pPr>
          </w:p>
        </w:tc>
        <w:tc>
          <w:tcPr>
            <w:tcW w:w="104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w w:val="98"/>
              </w:rPr>
              <w:t>Per 2055</w:t>
            </w:r>
          </w:p>
        </w:tc>
        <w:tc>
          <w:tcPr>
            <w:tcW w:w="60" w:type="dxa"/>
            <w:vAlign w:val="bottom"/>
          </w:tcPr>
          <w:p>
            <w:pPr>
              <w:spacing w:after="0"/>
              <w:rPr>
                <w:sz w:val="21"/>
                <w:szCs w:val="21"/>
                <w:color w:val="auto"/>
              </w:rPr>
            </w:pPr>
          </w:p>
        </w:tc>
        <w:tc>
          <w:tcPr>
            <w:tcW w:w="1940" w:type="dxa"/>
            <w:vAlign w:val="bottom"/>
            <w:gridSpan w:val="4"/>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Total 2055</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2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price(1)</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Borders>
              <w:top w:val="single" w:sz="8" w:color="auto"/>
            </w:tcBorders>
            <w:shd w:val="clear" w:color="auto" w:fill="CCEEFF"/>
          </w:tcPr>
          <w:p>
            <w:pPr>
              <w:jc w:val="center"/>
              <w:ind w:right="44"/>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Underwriting discount</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Pr>
          <w:p>
            <w:pPr>
              <w:jc w:val="center"/>
              <w:ind w:right="35"/>
              <w:spacing w:after="0"/>
              <w:rPr>
                <w:sz w:val="20"/>
                <w:szCs w:val="20"/>
                <w:color w:val="auto"/>
              </w:rPr>
            </w:pPr>
            <w:r>
              <w:rPr>
                <w:rFonts w:ascii="Times New Roman" w:cs="Times New Roman" w:eastAsia="Times New Roman" w:hAnsi="Times New Roman"/>
                <w:sz w:val="5"/>
                <w:szCs w:val="5"/>
                <w:color w:val="auto"/>
                <w:w w:val="79"/>
              </w:rPr>
              <w:t> </w:t>
            </w: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Pr>
          <w:p>
            <w:pPr>
              <w:jc w:val="center"/>
              <w:ind w:right="44"/>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Targa Resources Corp. (before expenses)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87"/>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5"/>
                <w:szCs w:val="5"/>
                <w:color w:val="auto"/>
                <w:w w:val="79"/>
              </w:rPr>
              <w:t> </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shd w:val="clear" w:color="auto" w:fill="CCEEFF"/>
          </w:tcPr>
          <w:p>
            <w:pPr>
              <w:jc w:val="center"/>
              <w:ind w:right="44"/>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4"/>
          </w:tcPr>
          <w:p>
            <w:pPr>
              <w:spacing w:after="0"/>
              <w:rPr>
                <w:sz w:val="12"/>
                <w:szCs w:val="12"/>
                <w:color w:val="auto"/>
              </w:rPr>
            </w:pPr>
          </w:p>
        </w:tc>
        <w:tc>
          <w:tcPr>
            <w:tcW w:w="2780" w:type="dxa"/>
            <w:vAlign w:val="bottom"/>
            <w:gridSpan w:val="8"/>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color w:val="auto"/>
              </w:rPr>
              <w:t>(1)</w:t>
            </w:r>
          </w:p>
        </w:tc>
        <w:tc>
          <w:tcPr>
            <w:tcW w:w="3520" w:type="dxa"/>
            <w:vAlign w:val="bottom"/>
            <w:gridSpan w:val="13"/>
          </w:tcPr>
          <w:p>
            <w:pPr>
              <w:ind w:left="40"/>
              <w:spacing w:after="0"/>
              <w:rPr>
                <w:sz w:val="20"/>
                <w:szCs w:val="20"/>
                <w:color w:val="auto"/>
              </w:rPr>
            </w:pPr>
            <w:r>
              <w:rPr>
                <w:rFonts w:ascii="Times New Roman" w:cs="Times New Roman" w:eastAsia="Times New Roman" w:hAnsi="Times New Roman"/>
                <w:sz w:val="16"/>
                <w:szCs w:val="16"/>
                <w:color w:val="auto"/>
              </w:rPr>
              <w:t>Plus accrued interest from               , 2025, if any.</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40" w:type="dxa"/>
            <w:vAlign w:val="bottom"/>
            <w:gridSpan w:val="32"/>
          </w:tcPr>
          <w:p>
            <w:pPr>
              <w:ind w:left="60"/>
              <w:spacing w:after="0"/>
              <w:rPr>
                <w:sz w:val="20"/>
                <w:szCs w:val="20"/>
                <w:color w:val="auto"/>
              </w:rPr>
            </w:pPr>
            <w:r>
              <w:rPr>
                <w:rFonts w:ascii="Times New Roman" w:cs="Times New Roman" w:eastAsia="Times New Roman" w:hAnsi="Times New Roman"/>
                <w:sz w:val="16"/>
                <w:szCs w:val="16"/>
                <w:color w:val="auto"/>
              </w:rPr>
              <w:t>The underwriters expect to deliver the notes in registered book-entry form only through the facilities of The Depository Trust Company,</w:t>
            </w: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 xml:space="preserve">including Clearstream Banking, </w:t>
            </w:r>
            <w:r>
              <w:rPr>
                <w:rFonts w:ascii="Times New Roman" w:cs="Times New Roman" w:eastAsia="Times New Roman" w:hAnsi="Times New Roman"/>
                <w:sz w:val="16"/>
                <w:szCs w:val="16"/>
                <w:i w:val="1"/>
                <w:iCs w:val="1"/>
                <w:color w:val="auto"/>
              </w:rPr>
              <w:t>société anonyme</w:t>
            </w:r>
            <w:r>
              <w:rPr>
                <w:rFonts w:ascii="Times New Roman" w:cs="Times New Roman" w:eastAsia="Times New Roman" w:hAnsi="Times New Roman"/>
                <w:sz w:val="16"/>
                <w:szCs w:val="16"/>
                <w:color w:val="auto"/>
              </w:rPr>
              <w:t xml:space="preserve">, Luxembourg and Euroclear Bank NV/SA, on or about    </w:t>
            </w: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xml:space="preserve">       </w:t>
            </w:r>
          </w:p>
        </w:tc>
        <w:tc>
          <w:tcPr>
            <w:tcW w:w="5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w w:val="95"/>
              </w:rPr>
              <w:t>, 2025.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p>
        </w:tc>
        <w:tc>
          <w:tcPr>
            <w:tcW w:w="960" w:type="dxa"/>
            <w:vAlign w:val="bottom"/>
            <w:tcBorders>
              <w:bottom w:val="single" w:sz="8" w:color="auto"/>
            </w:tcBorders>
            <w:gridSpan w:val="3"/>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9"/>
          </w:tcPr>
          <w:p>
            <w:pPr>
              <w:jc w:val="center"/>
              <w:ind w:right="161"/>
              <w:spacing w:after="0"/>
              <w:rPr>
                <w:sz w:val="20"/>
                <w:szCs w:val="20"/>
                <w:color w:val="auto"/>
              </w:rPr>
            </w:pPr>
            <w:r>
              <w:rPr>
                <w:rFonts w:ascii="Times New Roman" w:cs="Times New Roman" w:eastAsia="Times New Roman" w:hAnsi="Times New Roman"/>
                <w:sz w:val="16"/>
                <w:szCs w:val="16"/>
                <w:i w:val="1"/>
                <w:iCs w:val="1"/>
                <w:color w:val="auto"/>
              </w:rPr>
              <w:t>Joint Book-Running Managers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BofA Securities</w:t>
            </w:r>
          </w:p>
        </w:tc>
        <w:tc>
          <w:tcPr>
            <w:tcW w:w="24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Times New Roman" w:cs="Times New Roman" w:eastAsia="Times New Roman" w:hAnsi="Times New Roman"/>
                <w:sz w:val="20"/>
                <w:szCs w:val="20"/>
                <w:b w:val="1"/>
                <w:bCs w:val="1"/>
                <w:color w:val="auto"/>
              </w:rPr>
              <w:t>MUFG</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7"/>
          </w:tcPr>
          <w:p>
            <w:pPr>
              <w:jc w:val="center"/>
              <w:ind w:left="125"/>
              <w:spacing w:after="0"/>
              <w:rPr>
                <w:sz w:val="20"/>
                <w:szCs w:val="20"/>
                <w:color w:val="auto"/>
              </w:rPr>
            </w:pPr>
            <w:r>
              <w:rPr>
                <w:rFonts w:ascii="Times New Roman" w:cs="Times New Roman" w:eastAsia="Times New Roman" w:hAnsi="Times New Roman"/>
                <w:sz w:val="20"/>
                <w:szCs w:val="20"/>
                <w:b w:val="1"/>
                <w:bCs w:val="1"/>
                <w:color w:val="auto"/>
                <w:w w:val="99"/>
              </w:rPr>
              <w:t>RBC Capital Markets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8"/>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Wells Fargo Securities</w:t>
            </w: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Barclays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10"/>
          </w:tcPr>
          <w:p>
            <w:pPr>
              <w:jc w:val="center"/>
              <w:ind w:right="1083"/>
              <w:spacing w:after="0"/>
              <w:rPr>
                <w:sz w:val="20"/>
                <w:szCs w:val="20"/>
                <w:color w:val="auto"/>
              </w:rPr>
            </w:pPr>
            <w:r>
              <w:rPr>
                <w:rFonts w:ascii="Times New Roman" w:cs="Times New Roman" w:eastAsia="Times New Roman" w:hAnsi="Times New Roman"/>
                <w:sz w:val="20"/>
                <w:szCs w:val="20"/>
                <w:b w:val="1"/>
                <w:bCs w:val="1"/>
                <w:color w:val="auto"/>
                <w:w w:val="98"/>
              </w:rPr>
              <w:t>Capital One Securities</w:t>
            </w:r>
          </w:p>
        </w:tc>
        <w:tc>
          <w:tcPr>
            <w:tcW w:w="200" w:type="dxa"/>
            <w:vAlign w:val="bottom"/>
          </w:tcPr>
          <w:p>
            <w:pPr>
              <w:spacing w:after="0"/>
              <w:rPr>
                <w:sz w:val="24"/>
                <w:szCs w:val="24"/>
                <w:color w:val="auto"/>
              </w:rPr>
            </w:pPr>
          </w:p>
        </w:tc>
        <w:tc>
          <w:tcPr>
            <w:tcW w:w="1440" w:type="dxa"/>
            <w:vAlign w:val="bottom"/>
            <w:gridSpan w:val="6"/>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8"/>
              </w:rPr>
              <w:t>Citigroup</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gridSpan w:val="4"/>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w w:val="97"/>
              </w:rPr>
              <w:t>J.P. Morgan</w:t>
            </w:r>
          </w:p>
        </w:tc>
        <w:tc>
          <w:tcPr>
            <w:tcW w:w="0" w:type="dxa"/>
            <w:vAlign w:val="bottom"/>
          </w:tcPr>
          <w:p>
            <w:pPr>
              <w:spacing w:after="0"/>
              <w:rPr>
                <w:sz w:val="1"/>
                <w:szCs w:val="1"/>
                <w:color w:val="auto"/>
              </w:rPr>
            </w:pPr>
          </w:p>
        </w:tc>
      </w:tr>
      <w:tr>
        <w:trPr>
          <w:trHeight w:val="351"/>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Mizuho</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gridSpan w:val="10"/>
          </w:tcPr>
          <w:p>
            <w:pPr>
              <w:jc w:val="center"/>
              <w:ind w:right="1083"/>
              <w:spacing w:after="0"/>
              <w:rPr>
                <w:sz w:val="20"/>
                <w:szCs w:val="20"/>
                <w:color w:val="auto"/>
              </w:rPr>
            </w:pPr>
            <w:r>
              <w:rPr>
                <w:rFonts w:ascii="Times New Roman" w:cs="Times New Roman" w:eastAsia="Times New Roman" w:hAnsi="Times New Roman"/>
                <w:sz w:val="20"/>
                <w:szCs w:val="20"/>
                <w:b w:val="1"/>
                <w:bCs w:val="1"/>
                <w:color w:val="auto"/>
                <w:w w:val="98"/>
              </w:rPr>
              <w:t>PNC Capital Markets LLC</w:t>
            </w:r>
          </w:p>
        </w:tc>
        <w:tc>
          <w:tcPr>
            <w:tcW w:w="1640" w:type="dxa"/>
            <w:vAlign w:val="bottom"/>
            <w:gridSpan w:val="7"/>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TD Securities</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Truist Securities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-8206740</wp:posOffset>
            </wp:positionV>
            <wp:extent cx="2040255"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574040"/>
                    </a:xfrm>
                    <a:prstGeom prst="rect">
                      <a:avLst/>
                    </a:prstGeom>
                    <a:noFill/>
                  </pic:spPr>
                </pic:pic>
              </a:graphicData>
            </a:graphic>
          </wp:anchor>
        </w:drawing>
      </w:r>
    </w:p>
    <w:p>
      <w:pPr>
        <w:sectPr>
          <w:pgSz w:w="11900" w:h="16838" w:orient="portrait"/>
          <w:cols w:equalWidth="0" w:num="1">
            <w:col w:w="11140"/>
          </w:cols>
          <w:pgMar w:left="320" w:top="216" w:right="439" w:bottom="657" w:gutter="0" w:footer="0" w:header="0"/>
        </w:sectPr>
      </w:pPr>
    </w:p>
    <w:p>
      <w:pPr>
        <w:spacing w:after="0" w:line="1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 2025.</w:t>
      </w:r>
    </w:p>
    <w:p>
      <w:pPr>
        <w:sectPr>
          <w:pgSz w:w="11900" w:h="16838" w:orient="portrait"/>
          <w:cols w:equalWidth="0" w:num="1">
            <w:col w:w="11140"/>
          </w:cols>
          <w:pgMar w:left="320" w:top="216" w:right="439" w:bottom="657"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3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3"/>
        </w:trPr>
        <w:tc>
          <w:tcPr>
            <w:tcW w:w="7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5880" w:type="dxa"/>
            <w:vAlign w:val="bottom"/>
            <w:gridSpan w:val="20"/>
          </w:tcPr>
          <w:p>
            <w:pPr>
              <w:spacing w:after="0"/>
              <w:rPr>
                <w:sz w:val="22"/>
                <w:szCs w:val="22"/>
                <w:color w:val="auto"/>
              </w:rPr>
            </w:pPr>
          </w:p>
        </w:tc>
        <w:tc>
          <w:tcPr>
            <w:tcW w:w="39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Guarantor Disclosures</w:t>
            </w: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980" w:type="dxa"/>
            <w:vAlign w:val="bottom"/>
            <w:gridSpan w:val="12"/>
          </w:tcPr>
          <w:p>
            <w:pPr>
              <w:spacing w:after="0"/>
              <w:rPr>
                <w:sz w:val="17"/>
                <w:szCs w:val="17"/>
                <w:color w:val="auto"/>
              </w:rPr>
            </w:pP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5420" w:type="dxa"/>
            <w:vAlign w:val="bottom"/>
            <w:gridSpan w:val="16"/>
          </w:tcPr>
          <w:p>
            <w:pPr>
              <w:spacing w:after="0"/>
              <w:rPr>
                <w:sz w:val="17"/>
                <w:szCs w:val="17"/>
                <w:color w:val="auto"/>
              </w:rPr>
            </w:pP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4820" w:type="dxa"/>
            <w:vAlign w:val="bottom"/>
            <w:gridSpan w:val="9"/>
          </w:tcPr>
          <w:p>
            <w:pPr>
              <w:spacing w:after="0"/>
              <w:rPr>
                <w:sz w:val="17"/>
                <w:szCs w:val="17"/>
                <w:color w:val="auto"/>
              </w:rPr>
            </w:pP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United States Federal Income Tax Consequences</w:t>
            </w:r>
          </w:p>
        </w:tc>
        <w:tc>
          <w:tcPr>
            <w:tcW w:w="2480" w:type="dxa"/>
            <w:vAlign w:val="bottom"/>
            <w:gridSpan w:val="2"/>
          </w:tcPr>
          <w:p>
            <w:pPr>
              <w:spacing w:after="0"/>
              <w:rPr>
                <w:sz w:val="17"/>
                <w:szCs w:val="17"/>
                <w:color w:val="auto"/>
              </w:rPr>
            </w:pP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c>
          <w:tcPr>
            <w:tcW w:w="0" w:type="dxa"/>
            <w:vAlign w:val="bottom"/>
          </w:tcPr>
          <w:p>
            <w:pPr>
              <w:spacing w:after="0"/>
              <w:rPr>
                <w:sz w:val="1"/>
                <w:szCs w:val="1"/>
                <w:color w:val="auto"/>
              </w:rPr>
            </w:pPr>
          </w:p>
        </w:tc>
      </w:tr>
      <w:tr>
        <w:trPr>
          <w:trHeight w:val="196"/>
        </w:trPr>
        <w:tc>
          <w:tcPr>
            <w:tcW w:w="25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Legal</w:t>
            </w:r>
          </w:p>
        </w:tc>
        <w:tc>
          <w:tcPr>
            <w:tcW w:w="4020" w:type="dxa"/>
            <w:vAlign w:val="bottom"/>
            <w:gridSpan w:val="4"/>
          </w:tcPr>
          <w:p>
            <w:pPr>
              <w:spacing w:after="0"/>
              <w:rPr>
                <w:sz w:val="17"/>
                <w:szCs w:val="17"/>
                <w:color w:val="auto"/>
              </w:rPr>
            </w:pP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S-36</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S-37</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720" w:type="dxa"/>
            <w:vAlign w:val="bottom"/>
            <w:gridSpan w:val="3"/>
          </w:tcPr>
          <w:p>
            <w:pPr>
              <w:spacing w:after="0"/>
              <w:rPr>
                <w:sz w:val="17"/>
                <w:szCs w:val="17"/>
                <w:color w:val="auto"/>
              </w:rPr>
            </w:pPr>
          </w:p>
        </w:tc>
        <w:tc>
          <w:tcPr>
            <w:tcW w:w="3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453"/>
        </w:trPr>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98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3"/>
        </w:trPr>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4940" w:type="dxa"/>
            <w:vAlign w:val="bottom"/>
            <w:gridSpan w:val="11"/>
          </w:tcPr>
          <w:p>
            <w:pPr>
              <w:spacing w:after="0"/>
              <w:rPr>
                <w:sz w:val="22"/>
                <w:szCs w:val="22"/>
                <w:color w:val="auto"/>
              </w:rPr>
            </w:pP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Targa Resources Corp</w:t>
            </w: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Statement About Forward-Looking Statements</w:t>
            </w:r>
          </w:p>
        </w:tc>
        <w:tc>
          <w:tcPr>
            <w:tcW w:w="2360" w:type="dxa"/>
            <w:vAlign w:val="bottom"/>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5400" w:type="dxa"/>
            <w:vAlign w:val="bottom"/>
            <w:gridSpan w:val="15"/>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4400" w:type="dxa"/>
            <w:vAlign w:val="bottom"/>
            <w:gridSpan w:val="6"/>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4200" w:type="dxa"/>
            <w:vAlign w:val="bottom"/>
            <w:gridSpan w:val="5"/>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860" w:type="dxa"/>
            <w:vAlign w:val="bottom"/>
            <w:gridSpan w:val="10"/>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160" w:type="dxa"/>
            <w:vAlign w:val="bottom"/>
            <w:gridSpan w:val="14"/>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5580" w:type="dxa"/>
            <w:vAlign w:val="bottom"/>
            <w:gridSpan w:val="18"/>
          </w:tcPr>
          <w:p>
            <w:pPr>
              <w:spacing w:after="0"/>
              <w:rPr>
                <w:sz w:val="17"/>
                <w:szCs w:val="17"/>
                <w:color w:val="auto"/>
              </w:rPr>
            </w:pPr>
          </w:p>
        </w:tc>
        <w:tc>
          <w:tcPr>
            <w:tcW w:w="4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40" w:type="dxa"/>
            <w:vAlign w:val="bottom"/>
            <w:gridSpan w:val="21"/>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0" w:type="dxa"/>
            <w:vAlign w:val="bottom"/>
          </w:tcPr>
          <w:p>
            <w:pPr>
              <w:spacing w:after="0"/>
              <w:rPr>
                <w:sz w:val="24"/>
                <w:szCs w:val="24"/>
                <w:color w:val="auto"/>
              </w:rPr>
            </w:pPr>
          </w:p>
        </w:tc>
        <w:tc>
          <w:tcPr>
            <w:tcW w:w="6180" w:type="dxa"/>
            <w:vAlign w:val="bottom"/>
            <w:gridSpan w:val="22"/>
          </w:tcPr>
          <w:p>
            <w:pPr>
              <w:ind w:left="40"/>
              <w:spacing w:after="0"/>
              <w:rPr>
                <w:sz w:val="20"/>
                <w:szCs w:val="20"/>
                <w:color w:val="auto"/>
              </w:rPr>
            </w:pPr>
            <w:r>
              <w:rPr>
                <w:rFonts w:ascii="Times New Roman" w:cs="Times New Roman" w:eastAsia="Times New Roman" w:hAnsi="Times New Roman"/>
                <w:sz w:val="18"/>
                <w:szCs w:val="18"/>
                <w:color w:val="auto"/>
              </w:rPr>
              <w:t xml:space="preserve">We expect that delivery of the notes will be made to investors on or about             </w:t>
            </w:r>
          </w:p>
        </w:tc>
        <w:tc>
          <w:tcPr>
            <w:tcW w:w="43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 2025, which will be the            business day following</w:t>
            </w:r>
          </w:p>
        </w:tc>
        <w:tc>
          <w:tcPr>
            <w:tcW w:w="0" w:type="dxa"/>
            <w:vAlign w:val="bottom"/>
          </w:tcPr>
          <w:p>
            <w:pPr>
              <w:spacing w:after="0"/>
              <w:rPr>
                <w:sz w:val="1"/>
                <w:szCs w:val="1"/>
                <w:color w:val="auto"/>
              </w:rPr>
            </w:pPr>
          </w:p>
        </w:tc>
      </w:tr>
    </w:tbl>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date hereof (such settlement being referred to as “T+  ”). Under Rule 15c6-1 under the Securities Exchange Act of 1934, as amended (the “Exchange Act”), trades in the secondary market generally are required to settle in one business day, unless the parties to any such trade expressly agree otherwise. Accordingly, purchasers who wish to trade the notes on any date prior to the business day before delivery of the notes hereunder may be required, by virtue of the fact that the notes initially settle in T+  , to specify an alternate settlement cycle at the time of any such trade to prevent a failed settlement and such purchasers should consult their own advisors.</w:t>
      </w:r>
    </w:p>
    <w:p>
      <w:pPr>
        <w:spacing w:after="0" w:line="18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other than that which is contained or incorporated by reference in this prospectus supplement, the accompanying prospectus or any free writing prospectus prepared by or on behalf of us or to which we have referred you. Neither we nor the underwriters take any responsibility for, or provide any assurance as to, the reliability of any other information that others may give you. This prospectus supplement and the accompanying base prospectus do not constitute an offer to sell or the solicitation of an offer to buy any securities other than the registered securities to which they relate, nor does this prospectus supplement or the accompanying base prospectus constitute an offer to sell or the solicitation of an offer to buy securities in</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any jurisdiction to any person to whom it is unlawful to make such offer or solicitation in such jurisdiction. The information contained or incorporated by reference in this prospectus supplement, the accompanying prospectus or any free writing prospectus is accurate as of the date of the document in which the information appears. You should not assume that the information contained in this prospectus supplement or the accompanying base prospectus or in any free writing prospectus is accurate on any date other than the respective date of such document. Our business, financial condition, results of operations and prospects may have changed after any of such dates.</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about this prospectus supplement</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The second part is the accompanying base prospectus, which gives more general information, some of which may not apply to this offering of notes. Generally, when we refer only to the “prospectus,” we are referring to both parts combined. If information varies between this prospectus supplement and the accompanying base prospectus, you should rely on the information in this prospectus supplement.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statement made in this prospectus supplement, the accompanying base prospectus or in a document incorporated or deemed to be incorporated by reference into this prospectus supplement or the accompanying base prospectus will be deemed to be modified or superseded for purposes of this prospectus supplement to the extent that a statement contained in this prospectus supplement, the accompanying base prospectus or in any other subsequently filed document that is also incorporated by reference into this prospectus supplement modifies or supersedes that statement. Any statement so modified or superseded will not be deemed, except as so modified or superseded, to constitute a part of this prospectus supplement or the accompanying base prospectus. Please read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prospectus supplement and the accompanying base prospectus for more information.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and the accompanying base prospectus. It does not contain all of the information that you should consider before making an investment decision. You should read the entire prospectus supplement, the accompanying base prospectus and the documents incorporated by reference for a more complete understanding of this offering. Please read “Risk Factors” beginning on page S-6 of this prospectus supplement and page 6 of the accompanying base prospectus for more information about important risks that you should consider before investing in the notes.</w:t>
      </w:r>
    </w:p>
    <w:p>
      <w:pPr>
        <w:spacing w:after="0" w:line="183" w:lineRule="exact"/>
        <w:rPr>
          <w:sz w:val="20"/>
          <w:szCs w:val="20"/>
          <w:color w:val="auto"/>
        </w:rPr>
      </w:pPr>
    </w:p>
    <w:p>
      <w:pPr>
        <w:ind w:left="300" w:right="24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prospectus supplement, when we use the terms “Targa,” “we,” “us,” “our” or the “Company,” we are referring either to Targa Resources Corp. in its individual capacity or to Targa Resources Corp. and its subsidiaries collectively, as the context requires.</w:t>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80" w:firstLine="426"/>
        <w:spacing w:after="0" w:line="269" w:lineRule="auto"/>
        <w:rPr>
          <w:sz w:val="20"/>
          <w:szCs w:val="20"/>
          <w:color w:val="auto"/>
        </w:rPr>
      </w:pPr>
      <w:r>
        <w:rPr>
          <w:rFonts w:ascii="Times New Roman" w:cs="Times New Roman" w:eastAsia="Times New Roman" w:hAnsi="Times New Roman"/>
          <w:sz w:val="17"/>
          <w:szCs w:val="17"/>
          <w:color w:val="auto"/>
        </w:rPr>
        <w:t>Targa Resources Corp. (NYSE: TRGP) is a publicly traded Delaware corporation formed in October 2005. Targa is a leading provider of midstream services and is one of the largest independent infrastructure companies in North America. We own, operate, acquire, and develop a diversified portfolio of complementary domestic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w:t>
      </w:r>
    </w:p>
    <w:p>
      <w:pPr>
        <w:spacing w:after="0" w:line="3" w:lineRule="exact"/>
        <w:rPr>
          <w:sz w:val="20"/>
          <w:szCs w:val="20"/>
          <w:color w:val="auto"/>
        </w:rPr>
      </w:pPr>
    </w:p>
    <w:p>
      <w:pPr>
        <w:ind w:left="300" w:right="340" w:hanging="2"/>
        <w:spacing w:after="0" w:line="260" w:lineRule="auto"/>
        <w:tabs>
          <w:tab w:leader="none" w:pos="6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gathering, storing, terminaling and purchasing and selling crude oil. Targa Resources Partners LP (“TRP” or the “Partnership”) is a wholly owned subsidiary of the Company.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Badlands Transaction</w:t>
      </w:r>
    </w:p>
    <w:p>
      <w:pPr>
        <w:spacing w:after="0" w:line="11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February 18, 2025, we entered into a definitive agreement to repurchase from our joint venture partner all of the outstanding preferred equity in Targa Badlands LLC (“Badlands”), the entity that holds all of our North Dakota assets, for approximately $1.8 billion in cash (the “Badlands Transaction”). We expect the Badlands Transaction to close in the first quarter of 2025, subject to customary closing conditions, with an effective date of January 1, 2025. Following the closing of the Badlands Transaction, we will own 100% of Badlands. The closing of this offering is not contingent on the consummation of the Badlands Transaction.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expect to use a portion of the net proceeds from this offering to fund the Badlands Transaction.</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Factors—Risks Related to the Badlands Transaction</w:t>
      </w:r>
      <w:r>
        <w:rPr>
          <w:rFonts w:ascii="Times New Roman" w:cs="Times New Roman" w:eastAsia="Times New Roman" w:hAnsi="Times New Roman"/>
          <w:sz w:val="18"/>
          <w:szCs w:val="18"/>
          <w:color w:val="auto"/>
        </w:rPr>
        <w:t>” for more information about the risks related to the Badlands Transaction.</w:t>
      </w:r>
    </w:p>
    <w:p>
      <w:pPr>
        <w:spacing w:after="0" w:line="3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11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In February 2025, we entered into a Credit Agreement (the “Credit Agreement”) with Bank of America, N.A., as the Administrative Agent and Swing Line Lender (“Bank of America”), the letter of credit issuers party thereto and the other lenders party thereto (our “revolving credit facility”). Our revolving credit facility provides for an initial aggregate principal amount of borrowings of up to $3.5 billion (with an option to increase such maximum aggregate principal amount by up to $500.0 million in the future, subject to the terms of our revolving credit facility) and a swing line sub-facility of up to $150.0 million. Our revolving credit facility matures on</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664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366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66" w:lineRule="auto"/>
        <w:rPr>
          <w:sz w:val="20"/>
          <w:szCs w:val="20"/>
          <w:color w:val="auto"/>
        </w:rPr>
      </w:pPr>
      <w:r>
        <w:rPr>
          <w:rFonts w:ascii="Times New Roman" w:cs="Times New Roman" w:eastAsia="Times New Roman" w:hAnsi="Times New Roman"/>
          <w:sz w:val="18"/>
          <w:szCs w:val="18"/>
          <w:color w:val="auto"/>
        </w:rPr>
        <w:t>February 18, 2030. We will be able to extend the maturity date, subject to the required lenders’ consent, by one year up to two times. In connection with our entry into our revolving credit facility, we terminated our existing $2.75 billion senior secured revolving credit facility (the “prior revolving credit facility”).</w:t>
      </w:r>
    </w:p>
    <w:p>
      <w:pPr>
        <w:spacing w:after="0" w:line="176"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Our obligations under the revolving credit facility are guaranteed by each of TRP, Targa Resources GP LLC, Targa Energy GP LLC, Targa Resources LLC, Targa Energy LP, Targa GP Inc., Targa LP Inc., and Targa Resources Finance Corporation, each of which will initially guarantee the notes. In connection with our entry into the revolving credit facility, the guarantees of our subsidiary guarantors, other than those of the aforementioned guarantors of our revolving credit facility and the notes, were each released from their guarantee of our outstanding senior unsecured notes, TRP’s outstanding unsecured notes and our Commercial Paper Program.</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Principal Executive Offices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811 Louisiana St., Suite 2100, Houston, Texas 77002, and our telephone number is (713) 584-1000. Our website is located at </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We make our periodic reports and other information filed with or furnished to the SEC available, free of charge, through our website, as soon as reasonably practicable after those reports and other information are electronically filed with or furnished to the Commission. The information on our website is not part of this prospectus supplement, and you should rely only on information contained or incorporated by reference in this prospectus supplement, and the accompanying base prospectus, when making a decision to invest or not invest in the notes.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us, including our corporate structure and management, please refer to the documents set forth under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in this prospectus supplement, including our most recent Annual Report on Form 10-K, our subsequent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on Form 10-Q and Current Reports on Form 8-K (other than, in each case, information furnished rather than filed), all of which are incorporated by reference herein.</w:t>
      </w:r>
    </w:p>
    <w:p>
      <w:pPr>
        <w:spacing w:after="0" w:line="3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0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diagram below depicts our simplified ownership structure after giving effect to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20" w:hanging="422"/>
        <w:spacing w:after="0" w:line="257"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guarantee all of the Partnership’s outstanding senior unsecured notes. Our guarantor subsidiaries, including the Partnership, guarantee our revolving credit facility as well as the Commercial Paper Program and will guarantee the notes offered hereby. Certain of our guarantor subsidiaries collectively directly or indirectly own 100% of the outstanding general partner and limited partner interests in the Partnership.</w:t>
      </w:r>
    </w:p>
    <w:p>
      <w:pPr>
        <w:spacing w:after="0" w:line="1" w:lineRule="exact"/>
        <w:rPr>
          <w:rFonts w:ascii="Times New Roman" w:cs="Times New Roman" w:eastAsia="Times New Roman" w:hAnsi="Times New Roman"/>
          <w:sz w:val="18"/>
          <w:szCs w:val="18"/>
          <w:color w:val="auto"/>
        </w:rPr>
      </w:pPr>
    </w:p>
    <w:p>
      <w:pPr>
        <w:ind w:left="720" w:right="80" w:hanging="422"/>
        <w:spacing w:after="0" w:line="255"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Commercial Paper Program are supported through maintaining a minimum available borrowing capacity under our revolving credit facility equal to the aggregate amount outstanding under the Commercial Paper Program, and we reflect such borrowings as amounts outstanding under our revolving credit facility in our Consolidated Financial Statements.</w:t>
      </w: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0"/>
          </w:cols>
          <w:pgMar w:left="320" w:top="455" w:right="6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04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We provide the following summary solely for your convenience. This summary is not a complete description of the notes. You should read the full text of, and more specific details contained elsewhere in, this prospectus supplement and the accompanying base prospectus. For a more detailed description of the notes, please read the section entitled “Description of the Notes” in this prospectus supplement and the section entitled “Description of Debt Securities” in the accompanying base prospectus.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2780" w:type="dxa"/>
            <w:vAlign w:val="bottom"/>
            <w:gridSpan w:val="8"/>
          </w:tcPr>
          <w:p>
            <w:pPr>
              <w:ind w:left="1040"/>
              <w:spacing w:after="0"/>
              <w:rPr>
                <w:sz w:val="20"/>
                <w:szCs w:val="20"/>
                <w:color w:val="auto"/>
              </w:rPr>
            </w:pPr>
            <w:r>
              <w:rPr>
                <w:rFonts w:ascii="Times New Roman" w:cs="Times New Roman" w:eastAsia="Times New Roman" w:hAnsi="Times New Roman"/>
                <w:sz w:val="18"/>
                <w:szCs w:val="18"/>
                <w:color w:val="auto"/>
              </w:rPr>
              <w:t>Targa Resources Corp.</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2460" w:type="dxa"/>
            <w:vAlign w:val="bottom"/>
            <w:gridSpan w:val="6"/>
          </w:tcPr>
          <w:p>
            <w:pPr>
              <w:ind w:left="1040"/>
              <w:spacing w:after="0"/>
              <w:rPr>
                <w:sz w:val="20"/>
                <w:szCs w:val="20"/>
                <w:color w:val="auto"/>
              </w:rPr>
            </w:pPr>
            <w:r>
              <w:rPr>
                <w:rFonts w:ascii="Times New Roman" w:cs="Times New Roman" w:eastAsia="Times New Roman" w:hAnsi="Times New Roman"/>
                <w:sz w:val="18"/>
                <w:szCs w:val="18"/>
                <w:color w:val="auto"/>
              </w:rPr>
              <w:t xml:space="preserve">We are offering $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2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1"/>
              </w:rPr>
              <w:t>   aggregate principal amount of 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9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Senior Notes due</w:t>
            </w:r>
          </w:p>
        </w:tc>
      </w:tr>
      <w:tr>
        <w:trPr>
          <w:trHeight w:val="234"/>
        </w:trPr>
        <w:tc>
          <w:tcPr>
            <w:tcW w:w="3180" w:type="dxa"/>
            <w:vAlign w:val="bottom"/>
          </w:tcPr>
          <w:p>
            <w:pPr>
              <w:spacing w:after="0"/>
              <w:rPr>
                <w:sz w:val="20"/>
                <w:szCs w:val="20"/>
                <w:color w:val="auto"/>
              </w:rPr>
            </w:pPr>
          </w:p>
        </w:tc>
        <w:tc>
          <w:tcPr>
            <w:tcW w:w="19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 xml:space="preserve">2035 and $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6"/>
              </w:rPr>
              <w:t>aggregate principal amount of 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w w:val="99"/>
              </w:rPr>
              <w:t>% Senior Notes due 2055.</w:t>
            </w: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The 2035 notes will mature on               , 2035. The 2055 notes will mature</w:t>
            </w:r>
          </w:p>
        </w:tc>
      </w:tr>
      <w:tr>
        <w:trPr>
          <w:trHeight w:val="234"/>
        </w:trPr>
        <w:tc>
          <w:tcPr>
            <w:tcW w:w="3180" w:type="dxa"/>
            <w:vAlign w:val="bottom"/>
          </w:tcPr>
          <w:p>
            <w:pPr>
              <w:spacing w:after="0"/>
              <w:rPr>
                <w:sz w:val="20"/>
                <w:szCs w:val="20"/>
                <w:color w:val="auto"/>
              </w:rPr>
            </w:pPr>
          </w:p>
        </w:tc>
        <w:tc>
          <w:tcPr>
            <w:tcW w:w="15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xml:space="preserve">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2055.</w:t>
            </w: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4680" w:type="dxa"/>
            <w:vAlign w:val="bottom"/>
            <w:gridSpan w:val="9"/>
          </w:tcPr>
          <w:p>
            <w:pPr>
              <w:ind w:left="1040"/>
              <w:spacing w:after="0"/>
              <w:rPr>
                <w:sz w:val="20"/>
                <w:szCs w:val="20"/>
                <w:color w:val="auto"/>
              </w:rPr>
            </w:pPr>
            <w:r>
              <w:rPr>
                <w:rFonts w:ascii="Times New Roman" w:cs="Times New Roman" w:eastAsia="Times New Roman" w:hAnsi="Times New Roman"/>
                <w:sz w:val="18"/>
                <w:szCs w:val="18"/>
                <w:color w:val="auto"/>
              </w:rPr>
              <w:t xml:space="preserve">The 2035 notes will bear interest at the rate of 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 per annum, accruing</w:t>
            </w:r>
          </w:p>
        </w:tc>
      </w:tr>
      <w:tr>
        <w:trPr>
          <w:trHeight w:val="216"/>
        </w:trPr>
        <w:tc>
          <w:tcPr>
            <w:tcW w:w="3180" w:type="dxa"/>
            <w:vAlign w:val="bottom"/>
          </w:tcPr>
          <w:p>
            <w:pPr>
              <w:spacing w:after="0"/>
              <w:rPr>
                <w:sz w:val="18"/>
                <w:szCs w:val="18"/>
                <w:color w:val="auto"/>
              </w:rPr>
            </w:pPr>
          </w:p>
        </w:tc>
        <w:tc>
          <w:tcPr>
            <w:tcW w:w="150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82"/>
              </w:rPr>
              <w:t>from 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160" w:type="dxa"/>
            <w:vAlign w:val="bottom"/>
            <w:gridSpan w:val="11"/>
          </w:tcPr>
          <w:p>
            <w:pPr>
              <w:jc w:val="right"/>
              <w:spacing w:after="0"/>
              <w:rPr>
                <w:sz w:val="20"/>
                <w:szCs w:val="20"/>
                <w:color w:val="auto"/>
              </w:rPr>
            </w:pPr>
            <w:r>
              <w:rPr>
                <w:rFonts w:ascii="Times New Roman" w:cs="Times New Roman" w:eastAsia="Times New Roman" w:hAnsi="Times New Roman"/>
                <w:sz w:val="18"/>
                <w:szCs w:val="18"/>
                <w:color w:val="auto"/>
                <w:w w:val="94"/>
              </w:rPr>
              <w:t>   , 2025. The 2055 notes will bear interest at the rate of </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per</w:t>
            </w:r>
          </w:p>
        </w:tc>
      </w:tr>
      <w:tr>
        <w:trPr>
          <w:trHeight w:val="234"/>
        </w:trPr>
        <w:tc>
          <w:tcPr>
            <w:tcW w:w="3180" w:type="dxa"/>
            <w:vAlign w:val="bottom"/>
          </w:tcPr>
          <w:p>
            <w:pPr>
              <w:spacing w:after="0"/>
              <w:rPr>
                <w:sz w:val="20"/>
                <w:szCs w:val="20"/>
                <w:color w:val="auto"/>
              </w:rPr>
            </w:pPr>
          </w:p>
        </w:tc>
        <w:tc>
          <w:tcPr>
            <w:tcW w:w="2780" w:type="dxa"/>
            <w:vAlign w:val="bottom"/>
            <w:gridSpan w:val="8"/>
          </w:tcPr>
          <w:p>
            <w:pPr>
              <w:ind w:left="1040"/>
              <w:spacing w:after="0"/>
              <w:rPr>
                <w:sz w:val="20"/>
                <w:szCs w:val="20"/>
                <w:color w:val="auto"/>
              </w:rPr>
            </w:pPr>
            <w:r>
              <w:rPr>
                <w:rFonts w:ascii="Times New Roman" w:cs="Times New Roman" w:eastAsia="Times New Roman" w:hAnsi="Times New Roman"/>
                <w:sz w:val="18"/>
                <w:szCs w:val="18"/>
                <w:color w:val="auto"/>
                <w:w w:val="96"/>
              </w:rPr>
              <w:t>annum, accruing from </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4680" w:type="dxa"/>
            <w:vAlign w:val="bottom"/>
            <w:gridSpan w:val="9"/>
          </w:tcPr>
          <w:p>
            <w:pPr>
              <w:ind w:left="1040"/>
              <w:spacing w:after="0"/>
              <w:rPr>
                <w:sz w:val="20"/>
                <w:szCs w:val="20"/>
                <w:color w:val="auto"/>
              </w:rPr>
            </w:pPr>
            <w:r>
              <w:rPr>
                <w:rFonts w:ascii="Times New Roman" w:cs="Times New Roman" w:eastAsia="Times New Roman" w:hAnsi="Times New Roman"/>
                <w:sz w:val="18"/>
                <w:szCs w:val="18"/>
                <w:color w:val="auto"/>
                <w:w w:val="97"/>
              </w:rPr>
              <w:t>Interest is payable semi-annually for the notes on 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0"/>
              </w:rPr>
              <w:t>and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each year,</w:t>
            </w:r>
          </w:p>
        </w:tc>
      </w:tr>
      <w:tr>
        <w:trPr>
          <w:trHeight w:val="234"/>
        </w:trPr>
        <w:tc>
          <w:tcPr>
            <w:tcW w:w="3180" w:type="dxa"/>
            <w:vAlign w:val="bottom"/>
          </w:tcPr>
          <w:p>
            <w:pPr>
              <w:spacing w:after="0"/>
              <w:rPr>
                <w:sz w:val="20"/>
                <w:szCs w:val="20"/>
                <w:color w:val="auto"/>
              </w:rPr>
            </w:pPr>
          </w:p>
        </w:tc>
        <w:tc>
          <w:tcPr>
            <w:tcW w:w="190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w w:val="93"/>
              </w:rPr>
              <w:t>beginning 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Mandatory Redemption</w:t>
            </w: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We will not be required to make mandatory redemption or sinking fund payments on the</w:t>
            </w:r>
          </w:p>
        </w:tc>
      </w:tr>
      <w:tr>
        <w:trPr>
          <w:trHeight w:val="234"/>
        </w:trPr>
        <w:tc>
          <w:tcPr>
            <w:tcW w:w="3180" w:type="dxa"/>
            <w:vAlign w:val="bottom"/>
          </w:tcPr>
          <w:p>
            <w:pPr>
              <w:spacing w:after="0"/>
              <w:rPr>
                <w:sz w:val="20"/>
                <w:szCs w:val="20"/>
                <w:color w:val="auto"/>
              </w:rPr>
            </w:pPr>
          </w:p>
        </w:tc>
        <w:tc>
          <w:tcPr>
            <w:tcW w:w="5420" w:type="dxa"/>
            <w:vAlign w:val="bottom"/>
            <w:gridSpan w:val="13"/>
          </w:tcPr>
          <w:p>
            <w:pPr>
              <w:ind w:left="1040"/>
              <w:spacing w:after="0"/>
              <w:rPr>
                <w:sz w:val="20"/>
                <w:szCs w:val="20"/>
                <w:color w:val="auto"/>
              </w:rPr>
            </w:pPr>
            <w:r>
              <w:rPr>
                <w:rFonts w:ascii="Times New Roman" w:cs="Times New Roman" w:eastAsia="Times New Roman" w:hAnsi="Times New Roman"/>
                <w:sz w:val="18"/>
                <w:szCs w:val="18"/>
                <w:color w:val="auto"/>
              </w:rPr>
              <w:t>notes or to repurchase the notes at the option of the holders.</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1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5"/>
              </w:rPr>
              <w:t>Prior to 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center"/>
              <w:ind w:right="46"/>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060" w:type="dxa"/>
            <w:vAlign w:val="bottom"/>
            <w:gridSpan w:val="8"/>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prior to maturity) in the case of the 2035 notes and</w:t>
            </w:r>
          </w:p>
        </w:tc>
      </w:tr>
      <w:tr>
        <w:trPr>
          <w:trHeight w:val="216"/>
        </w:trPr>
        <w:tc>
          <w:tcPr>
            <w:tcW w:w="3180" w:type="dxa"/>
            <w:vAlign w:val="bottom"/>
          </w:tcPr>
          <w:p>
            <w:pPr>
              <w:spacing w:after="0"/>
              <w:rPr>
                <w:sz w:val="18"/>
                <w:szCs w:val="18"/>
                <w:color w:val="auto"/>
              </w:rPr>
            </w:pPr>
          </w:p>
        </w:tc>
        <w:tc>
          <w:tcPr>
            <w:tcW w:w="16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w w:val="86"/>
              </w:rPr>
              <w:t>prior to 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jc w:val="center"/>
              <w:ind w:right="66"/>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060" w:type="dxa"/>
            <w:vAlign w:val="bottom"/>
            <w:gridSpan w:val="8"/>
          </w:tcPr>
          <w:p>
            <w:pPr>
              <w:jc w:val="right"/>
              <w:ind w:right="210"/>
              <w:spacing w:after="0"/>
              <w:rPr>
                <w:sz w:val="20"/>
                <w:szCs w:val="20"/>
                <w:color w:val="auto"/>
              </w:rPr>
            </w:pPr>
            <w:r>
              <w:rPr>
                <w:rFonts w:ascii="Times New Roman" w:cs="Times New Roman" w:eastAsia="Times New Roman" w:hAnsi="Times New Roman"/>
                <w:sz w:val="18"/>
                <w:szCs w:val="18"/>
                <w:color w:val="auto"/>
              </w:rPr>
              <w:t>(six months prior to maturity) in the case of the 2055 notes (such</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dates, the “Par Call Dates” with respect to the applicable series of notes), we may redeem</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the notes of the applicable series, in whole or in part, at any time and from time to time, at</w:t>
            </w:r>
          </w:p>
        </w:tc>
      </w:tr>
      <w:tr>
        <w:trPr>
          <w:trHeight w:val="214"/>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our option, at the “make-whole” redemption price described in this prospectus supplement</w:t>
            </w:r>
          </w:p>
        </w:tc>
      </w:tr>
      <w:tr>
        <w:trPr>
          <w:trHeight w:val="236"/>
        </w:trPr>
        <w:tc>
          <w:tcPr>
            <w:tcW w:w="3180" w:type="dxa"/>
            <w:vAlign w:val="bottom"/>
          </w:tcPr>
          <w:p>
            <w:pPr>
              <w:spacing w:after="0"/>
              <w:rPr>
                <w:sz w:val="20"/>
                <w:szCs w:val="20"/>
                <w:color w:val="auto"/>
              </w:rPr>
            </w:pPr>
          </w:p>
        </w:tc>
        <w:tc>
          <w:tcPr>
            <w:tcW w:w="5240" w:type="dxa"/>
            <w:vAlign w:val="bottom"/>
            <w:gridSpan w:val="12"/>
          </w:tcPr>
          <w:p>
            <w:pPr>
              <w:ind w:left="1040"/>
              <w:spacing w:after="0"/>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i w:val="1"/>
                <w:iCs w:val="1"/>
                <w:color w:val="auto"/>
              </w:rPr>
              <w:t>Description of the Notes—Optional Redemption</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spacing w:after="0"/>
              <w:rPr>
                <w:sz w:val="24"/>
                <w:szCs w:val="24"/>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On or after the applicable Par Call Date with respect to a series of notes, we may redeem</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the notes of such series, in whole or in part, at any time and from time to time, at a</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notes being redeemed plus</w:t>
            </w:r>
          </w:p>
        </w:tc>
      </w:tr>
      <w:tr>
        <w:trPr>
          <w:trHeight w:val="234"/>
        </w:trPr>
        <w:tc>
          <w:tcPr>
            <w:tcW w:w="3180" w:type="dxa"/>
            <w:vAlign w:val="bottom"/>
          </w:tcPr>
          <w:p>
            <w:pPr>
              <w:spacing w:after="0"/>
              <w:rPr>
                <w:sz w:val="20"/>
                <w:szCs w:val="20"/>
                <w:color w:val="auto"/>
              </w:rPr>
            </w:pPr>
          </w:p>
        </w:tc>
        <w:tc>
          <w:tcPr>
            <w:tcW w:w="4840" w:type="dxa"/>
            <w:vAlign w:val="bottom"/>
            <w:gridSpan w:val="10"/>
          </w:tcPr>
          <w:p>
            <w:pPr>
              <w:ind w:left="1040"/>
              <w:spacing w:after="0"/>
              <w:rPr>
                <w:sz w:val="20"/>
                <w:szCs w:val="20"/>
                <w:color w:val="auto"/>
              </w:rPr>
            </w:pPr>
            <w:r>
              <w:rPr>
                <w:rFonts w:ascii="Times New Roman" w:cs="Times New Roman" w:eastAsia="Times New Roman" w:hAnsi="Times New Roman"/>
                <w:sz w:val="18"/>
                <w:szCs w:val="18"/>
                <w:color w:val="auto"/>
              </w:rPr>
              <w:t>accrued and unpaid interest to the redemption date.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Subsidiary Guarantees</w:t>
            </w: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jointly and severally, on a senior</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unsecured basis by our subsidiaries that guarantee our revolving credit facility for so long</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as such subsidiaries guarantee our revolving credit facility. Any of our other subsidiaries</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that in the future guarantee our revolving credit facility may be required to guarantee the</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notes on the same basis, and the guarantees may be released or terminated under certain</w:t>
            </w:r>
          </w:p>
        </w:tc>
      </w:tr>
      <w:tr>
        <w:trPr>
          <w:trHeight w:val="234"/>
        </w:trPr>
        <w:tc>
          <w:tcPr>
            <w:tcW w:w="3180" w:type="dxa"/>
            <w:vAlign w:val="bottom"/>
          </w:tcPr>
          <w:p>
            <w:pPr>
              <w:spacing w:after="0"/>
              <w:rPr>
                <w:sz w:val="20"/>
                <w:szCs w:val="20"/>
                <w:color w:val="auto"/>
              </w:rPr>
            </w:pPr>
          </w:p>
        </w:tc>
        <w:tc>
          <w:tcPr>
            <w:tcW w:w="210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w w:val="97"/>
              </w:rPr>
              <w:t>circumstances.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19"/>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The notes will be our senior unsecured obligations and will rank equally in right of</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payment with our current and future unsecured senior debt, including debt under our</w:t>
            </w:r>
          </w:p>
        </w:tc>
      </w:tr>
      <w:tr>
        <w:trPr>
          <w:trHeight w:val="216"/>
        </w:trPr>
        <w:tc>
          <w:tcPr>
            <w:tcW w:w="3180" w:type="dxa"/>
            <w:vAlign w:val="bottom"/>
          </w:tcPr>
          <w:p>
            <w:pPr>
              <w:spacing w:after="0"/>
              <w:rPr>
                <w:sz w:val="18"/>
                <w:szCs w:val="18"/>
                <w:color w:val="auto"/>
              </w:rPr>
            </w:pPr>
          </w:p>
        </w:tc>
        <w:tc>
          <w:tcPr>
            <w:tcW w:w="7840" w:type="dxa"/>
            <w:vAlign w:val="bottom"/>
            <w:gridSpan w:val="16"/>
          </w:tcPr>
          <w:p>
            <w:pPr>
              <w:ind w:left="1040"/>
              <w:spacing w:after="0"/>
              <w:rPr>
                <w:sz w:val="20"/>
                <w:szCs w:val="20"/>
                <w:color w:val="auto"/>
              </w:rPr>
            </w:pPr>
            <w:r>
              <w:rPr>
                <w:rFonts w:ascii="Times New Roman" w:cs="Times New Roman" w:eastAsia="Times New Roman" w:hAnsi="Times New Roman"/>
                <w:sz w:val="18"/>
                <w:szCs w:val="18"/>
                <w:color w:val="auto"/>
              </w:rPr>
              <w:t>revolving credit facility and the Commercial Paper Program, and senior in right of payment</w:t>
            </w:r>
          </w:p>
        </w:tc>
      </w:tr>
      <w:tr>
        <w:trPr>
          <w:trHeight w:val="234"/>
        </w:trPr>
        <w:tc>
          <w:tcPr>
            <w:tcW w:w="3180" w:type="dxa"/>
            <w:vAlign w:val="bottom"/>
          </w:tcPr>
          <w:p>
            <w:pPr>
              <w:spacing w:after="0"/>
              <w:rPr>
                <w:sz w:val="20"/>
                <w:szCs w:val="20"/>
                <w:color w:val="auto"/>
              </w:rPr>
            </w:pPr>
          </w:p>
        </w:tc>
        <w:tc>
          <w:tcPr>
            <w:tcW w:w="4680" w:type="dxa"/>
            <w:vAlign w:val="bottom"/>
            <w:gridSpan w:val="9"/>
          </w:tcPr>
          <w:p>
            <w:pPr>
              <w:ind w:left="1040"/>
              <w:spacing w:after="0"/>
              <w:rPr>
                <w:sz w:val="20"/>
                <w:szCs w:val="20"/>
                <w:color w:val="auto"/>
              </w:rPr>
            </w:pPr>
            <w:r>
              <w:rPr>
                <w:rFonts w:ascii="Times New Roman" w:cs="Times New Roman" w:eastAsia="Times New Roman" w:hAnsi="Times New Roman"/>
                <w:sz w:val="18"/>
                <w:szCs w:val="18"/>
                <w:color w:val="auto"/>
                <w:w w:val="99"/>
              </w:rPr>
              <w:t>to any future subordinated debt that we may incur.</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72"/>
        </w:trPr>
        <w:tc>
          <w:tcPr>
            <w:tcW w:w="3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361"/>
        </w:trPr>
        <w:tc>
          <w:tcPr>
            <w:tcW w:w="3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920" w:type="dxa"/>
            <w:vAlign w:val="bottom"/>
            <w:tcBorders>
              <w:top w:val="single" w:sz="8" w:color="auto"/>
              <w:left w:val="single" w:sz="8" w:color="auto"/>
            </w:tcBorders>
          </w:tcPr>
          <w:p>
            <w:pPr>
              <w:spacing w:after="0"/>
              <w:rPr>
                <w:sz w:val="24"/>
                <w:szCs w:val="24"/>
                <w:color w:val="auto"/>
              </w:rPr>
            </w:pPr>
          </w:p>
        </w:tc>
        <w:tc>
          <w:tcPr>
            <w:tcW w:w="810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Each guarantee will rank equally in right of payment with all of such guarantor’s existing</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future unsecured senior debt and other unsecured guarantees of senior debt.</w:t>
            </w:r>
          </w:p>
        </w:tc>
      </w:tr>
      <w:tr>
        <w:trPr>
          <w:trHeight w:val="319"/>
        </w:trPr>
        <w:tc>
          <w:tcPr>
            <w:tcW w:w="292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and the guarantees will be effectively junior to any secured indebtedness of ours</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or any guarantor to the extent of the value of the assets securing such indebtedness and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structurally subordinated to all indebtedness and other obligations of our subsidiaries that</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do not guarantee the notes.</w:t>
            </w:r>
          </w:p>
        </w:tc>
      </w:tr>
      <w:tr>
        <w:trPr>
          <w:trHeight w:val="319"/>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We expect to receive net proceeds of approximately $            from this offering, after</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deducting the underwriting discounts and estimated offering expenses. We expect to use a</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portion of the net proceeds from this offering to fund the Badlands Transaction and to use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remaining net proceeds from this offering for general corporate purposes, including to</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repay borrowings under our Commercial Paper Program. If we do not complete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Badlands Transaction, we expect to use the net proceeds from this offering for general</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corporate purposes, including to repay borrowings under our Commercial Paper Program,</w:t>
            </w:r>
          </w:p>
        </w:tc>
      </w:tr>
      <w:tr>
        <w:trPr>
          <w:trHeight w:val="214"/>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repay other indebtedness, for capital expenditures, for additions to working capital and for</w:t>
            </w:r>
          </w:p>
        </w:tc>
      </w:tr>
      <w:tr>
        <w:trPr>
          <w:trHeight w:val="236"/>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investments in our subsidiaries. For more information,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319"/>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and Trading</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will not be listed on any securities exchange or included in any automated</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quotation system. Certain of the underwriters have advised us that they intend to make a</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market in the notes. The underwriters are not obligated, however, to make a market in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notes, and any such market may be discounted by the underwriters in their discretion at any</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time without notice.</w:t>
            </w:r>
          </w:p>
        </w:tc>
      </w:tr>
      <w:tr>
        <w:trPr>
          <w:trHeight w:val="338"/>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351"/>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The notes and the indenture will be governed by the laws of the State of New York.</w:t>
            </w:r>
          </w:p>
        </w:tc>
      </w:tr>
      <w:tr>
        <w:trPr>
          <w:trHeight w:val="333"/>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 investment in the notes involves risks. Please read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S-6 of this prospectus supplement and on page 6 of the accompanying base prospectus for a</w:t>
            </w:r>
          </w:p>
        </w:tc>
      </w:tr>
      <w:tr>
        <w:trPr>
          <w:trHeight w:val="234"/>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investing in the notes.</w:t>
            </w:r>
          </w:p>
        </w:tc>
      </w:tr>
      <w:tr>
        <w:trPr>
          <w:trHeight w:val="319"/>
        </w:trPr>
        <w:tc>
          <w:tcPr>
            <w:tcW w:w="2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Certain of the underwriters and/or their affiliates are lenders under our revolving credit</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facility and/or are dealers under the Commercial Paper Program. Because certain of the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underwriters and/or their affiliates are expected to receive at least 5% of the net proceeds of</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this offering, such underwriters and/or their affiliates could be deemed to have a “conflict</w:t>
            </w:r>
          </w:p>
        </w:tc>
      </w:tr>
      <w:tr>
        <w:trPr>
          <w:trHeight w:val="214"/>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 interest” under Rule 5121 of the Financial Industry Regulatory Authority, Inc. (“Rule</w:t>
            </w:r>
          </w:p>
        </w:tc>
      </w:tr>
      <w:tr>
        <w:trPr>
          <w:trHeight w:val="218"/>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5121”).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Accordingly, this offering is being made in compliance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with the requirements of Rule 5121. The appointment of a “qualified independent</w:t>
            </w:r>
          </w:p>
        </w:tc>
      </w:tr>
      <w:tr>
        <w:trPr>
          <w:trHeight w:val="214"/>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underwriter” is not required in connection with this offering because the notes are</w:t>
            </w:r>
          </w:p>
        </w:tc>
      </w:tr>
      <w:tr>
        <w:trPr>
          <w:trHeight w:val="216"/>
        </w:trPr>
        <w:tc>
          <w:tcPr>
            <w:tcW w:w="292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“investment grade rated” as defined in paragraph (f)(8) of Rule 5121. See “</w:t>
            </w:r>
            <w:r>
              <w:rPr>
                <w:rFonts w:ascii="Times New Roman" w:cs="Times New Roman" w:eastAsia="Times New Roman" w:hAnsi="Times New Roman"/>
                <w:sz w:val="18"/>
                <w:szCs w:val="18"/>
                <w:i w:val="1"/>
                <w:iCs w:val="1"/>
                <w:color w:val="auto"/>
              </w:rPr>
              <w:t>Underwriting</w:t>
            </w:r>
          </w:p>
        </w:tc>
      </w:tr>
      <w:tr>
        <w:trPr>
          <w:trHeight w:val="236"/>
        </w:trPr>
        <w:tc>
          <w:tcPr>
            <w:tcW w:w="2920" w:type="dxa"/>
            <w:vAlign w:val="bottom"/>
            <w:tcBorders>
              <w:left w:val="single" w:sz="8" w:color="auto"/>
            </w:tcBorders>
          </w:tcPr>
          <w:p>
            <w:pPr>
              <w:spacing w:after="0"/>
              <w:rPr>
                <w:sz w:val="20"/>
                <w:szCs w:val="20"/>
                <w:color w:val="auto"/>
              </w:rPr>
            </w:pPr>
          </w:p>
        </w:tc>
        <w:tc>
          <w:tcPr>
            <w:tcW w:w="810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i w:val="1"/>
                <w:iCs w:val="1"/>
                <w:color w:val="auto"/>
              </w:rPr>
              <w:t>(Conflicts of Interest)</w:t>
            </w:r>
            <w:r>
              <w:rPr>
                <w:rFonts w:ascii="Times New Roman" w:cs="Times New Roman" w:eastAsia="Times New Roman" w:hAnsi="Times New Roman"/>
                <w:sz w:val="18"/>
                <w:szCs w:val="18"/>
                <w:color w:val="auto"/>
              </w:rPr>
              <w:t>.”</w:t>
            </w:r>
          </w:p>
        </w:tc>
      </w:tr>
      <w:tr>
        <w:trPr>
          <w:trHeight w:val="172"/>
        </w:trPr>
        <w:tc>
          <w:tcPr>
            <w:tcW w:w="2920" w:type="dxa"/>
            <w:vAlign w:val="bottom"/>
            <w:tcBorders>
              <w:left w:val="single" w:sz="8" w:color="auto"/>
              <w:bottom w:val="single" w:sz="8" w:color="auto"/>
            </w:tcBorders>
          </w:tcPr>
          <w:p>
            <w:pPr>
              <w:spacing w:after="0"/>
              <w:rPr>
                <w:sz w:val="14"/>
                <w:szCs w:val="14"/>
                <w:color w:val="auto"/>
              </w:rPr>
            </w:pPr>
          </w:p>
        </w:tc>
        <w:tc>
          <w:tcPr>
            <w:tcW w:w="8100" w:type="dxa"/>
            <w:vAlign w:val="bottom"/>
            <w:tcBorders>
              <w:bottom w:val="single" w:sz="8" w:color="auto"/>
              <w:right w:val="single" w:sz="8" w:color="auto"/>
            </w:tcBorders>
          </w:tcPr>
          <w:p>
            <w:pPr>
              <w:spacing w:after="0"/>
              <w:rPr>
                <w:sz w:val="14"/>
                <w:szCs w:val="14"/>
                <w:color w:val="auto"/>
              </w:rPr>
            </w:pPr>
          </w:p>
        </w:tc>
      </w:tr>
      <w:tr>
        <w:trPr>
          <w:trHeight w:val="361"/>
        </w:trPr>
        <w:tc>
          <w:tcPr>
            <w:tcW w:w="2920" w:type="dxa"/>
            <w:vAlign w:val="bottom"/>
          </w:tcPr>
          <w:p>
            <w:pPr>
              <w:spacing w:after="0"/>
              <w:rPr>
                <w:sz w:val="24"/>
                <w:szCs w:val="24"/>
                <w:color w:val="auto"/>
              </w:rPr>
            </w:pPr>
          </w:p>
        </w:tc>
        <w:tc>
          <w:tcPr>
            <w:tcW w:w="81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the notes involves risks. You should carefully consider all of the information contained in this prospectus supplement, the accompanying base prospectus and the documents incorporated by reference as provided under “Where You Can Find More Information,” including our most recent Annual Report on Form 10-K and the risk factors described under “Risk Factors” therein. This prospectus supplement, the accompanying base prospectus and the documents incorporated by reference also contain forward-looking statements that involve risks and uncertainties. Please read “Forward-Looking Statements.” Our actual results could differ materially from those anticipated in the forward-looking statements as a result of certain factors, including the risks described elsewhere in this prospectus supplement, in the accompanying base prospectus and in the documents incorporated by reference. If any of these risks occur, our business, financial condition or results of operation could be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that may adversely affect our financial position and prevent us from fulfilling our obligations under the notes.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currently have, and following this offering will continue to have, a substantial amount of indebtedness. Our revolving credit facility, which matures in February 2030, provides for a revolving credit facility in an initial aggregate principal amount up to $3.5 billion (with an option to increase such maximum aggregate principal amount by up to $500.0 million in the future, subject to the terms of our revolving credit facility) and a swing line sub-facility of up to $150.0 million. Under the terms of the Commercial Paper Program, we may issue, from time to time, unsecured commercial paper notes with varying maturities of less than one year. Amounts available under the Commercial Paper Program may be issued, repaid and re-issued from time to time, with the maximum aggregate face or principal amount outstanding at any one time not to exceed $3.5 billion (subject to documentation requirements of the Commercial Paper Program). We maintain a minimum available borrowing capacity under our revolving credit facility equal to the aggregate amount outstanding under the Commercial Paper Program as support for the program. As of December 31, 2024, on an “as adjusted” basis as described in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we would have had approximately no borrowings outstanding and approximately $        of borrowing capacity under our revolving credit facility and $        of borrowings outstanding under the Commercial Paper Program.</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substantial level of indebtedness increases the possibility that we may be unable to generate cash sufficient to pay, when due, the principal of, interest on or other amounts due in respect of indebtedness. This substantial indebtedness, combined with lease and other financial obligations and contractual commitments, could have other important consequences to us, including the following:</w:t>
      </w:r>
    </w:p>
    <w:p>
      <w:pPr>
        <w:spacing w:after="0" w:line="81" w:lineRule="exact"/>
        <w:rPr>
          <w:sz w:val="20"/>
          <w:szCs w:val="20"/>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if necessary, for working capital, capital expenditures, acquisitions or other purposes may be impaired or such financing may not be available on favorable terms;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satisfying our obligations with respect to indebtedness may be more difficult and any failure to comply with the obligations of any debt instruments could result in an event of default under the agreements governing such indebtedness;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 portion of cash flow to make interest payments on debt, reducing the funds that would otherwise be available for operations and future business opportunities;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influence how counterparties view our creditworthiness, which could limit our ability to enter into commercial transactions at favorable rates or require us to post additional collateral in commercial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will make us more vulnerable to competitive pressures or a downturn in our business or the economy generally;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may limit flexibility in planning for, or responding to, changing business and economic conditions.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equity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applicable state limited liability company laws and other laws and regulations.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291" w:lineRule="exact"/>
        <w:rPr>
          <w:sz w:val="20"/>
          <w:szCs w:val="20"/>
          <w:color w:val="auto"/>
        </w:rPr>
      </w:pPr>
    </w:p>
    <w:p>
      <w:pPr>
        <w:ind w:left="120"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Payment of principal and interest on the notes will be structurally subordinated to the liabilities of our current and any future non-guarantor subsidiaries and effectively subordinated to any of our secured indebtedness to the extent of the assets securing such indebtedness.</w:t>
      </w:r>
    </w:p>
    <w:p>
      <w:pPr>
        <w:spacing w:after="0" w:line="28"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Not all of our subsidiaries will guarantee the notes. Although certain of our existing subsidiaries, including all of our subsidiaries that guarantee our indebtedness under our revolving credit facility on the issue date, will initially guarantee the notes, in the future, under certain circumstances, the note guarantees are subject to release, and we may have other subsidiaries that are not guarantors. The notes will be structurally subordinated to the claims of all creditors, including trade creditors and tort claimants, of our non-guarantor subsidiaries. In the event of the liquidation, dissolution, reorganization, bankruptcy or similar proceeding of the business of a non-guarantor subsidiary, creditors of such subsidiary would generally have the right to be paid in full before any distribution is made to us or the holders of the notes. Accordingly, there may not be sufficient funds remaining to pay amounts due on all or any of the notes.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series of the notes and the guarantees thereof will be our and the guarantors’ general unsecured senior obligations, and effectively subordinated to any secured debt that we or the guarantors may have, to the extent of the value of the assets securing that debt. The indenture will permit us and the guarantors to incur secured debt provided certain conditions are met. If we are declared bankrupt or insolvent, or are liquidated, the holders of our secured debt will be entitled to be paid from our assets securing their debt before any payment may be made with respect to the notes. If any of the preceding events occur, we may not have sufficient assets to pay amounts due on our secured debt and the notes.</w:t>
      </w:r>
    </w:p>
    <w:p>
      <w:pPr>
        <w:spacing w:after="0" w:line="28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and our subsidiaries’ current level of indebtedness, we may still be able to incur substantially more indebtedness. This could further exacerbate the risks associated with our substantial indebtedness.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Although the instruments governing our outstanding indebtedness contain restrictions that may limit our ability to incur additional indebtedness, these restrictions are subject to waiver and a significant number of qualifications and exceptions, and indebtedness incurred in compliance with these restrictions could be substantial. If we incur any additional indebtedness that ranks equally with the notes and the note guarantees, the holders of that indebtedness will be entitled to share ratably with the holders of the notes and the note guarantees in any proceeds distributed in connection with any insolvency, liquidation, reorganization, dissolution or other winding-up of us. This may have the effect of reducing the amount of proceeds paid to you. If new indebtedness is added to our current debt levels, the related risks that we and our subsidiaries now face could intensify.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 guarantees could be deemed fraudulent conveyances under certain circumstances, and a court may try to subordinate or void the note guarantees.</w:t>
      </w:r>
    </w:p>
    <w:p>
      <w:pPr>
        <w:spacing w:after="0" w:line="5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federal bankruptcy laws and comparable provisions of state fraudulent transfer laws, a note guarantee could be voided, or claims in respect of a note guarantee could be subordinated to all other debts of that subsidiary guarantor if, among other things, the subsidiary guarantor, at the time it incurred the indebtedness evidenced by its note guarantee:</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fair consideration for the incurrence of such note guarantee;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the subsidiary guarantor’s remaining assets constituted unreasonably small capital;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any payment by that subsidiary guarantor pursuant to its note guarantee could be voided and required to be returned to the subsidiary guarantor or to a fund for the benefit of the creditors of the subsidiary guarantor. The measures of insolvency for purposes of these fraudulent transfer laws will vary depending upon the law applied in any proceeding to determine whether a fraudulent transfer has occurred. Generally, however, a subsidiary guarantor would be considered insolvent if:</w:t>
      </w:r>
    </w:p>
    <w:p>
      <w:pPr>
        <w:spacing w:after="0" w:line="85"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saleable value of all of its assets;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liability, including contingent liabilities, on its existing debts, as they become absolute and mature;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ability to transfer the notes may be limited by the absence of a trading market.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series of the notes will be new securities for which currently there is no trading market. We do not currently intend to apply for listing of the notes on any securities exchange or stock market. Although certain of the underwriters have informed us that they currently intend to make a market in the notes, they are not obligated to do so. In addition, they may discontinue any such market making at any time without notice. The liquidity of any market for the notes will depend on the number of holders of those notes, the interest of securities dealers in making a market in those notes and other factors. Accordingly, we cannot assure you as to the development or liquidity of any market for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Badlands Transaction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assurances when or if the Badlands Transaction will be completed.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Although we expect to complete the Badlands Transaction in the first quarter of 2025, there can be no assurances as to the exact timing of consummation of the Badlands Transaction or that the Badlands Transaction will be completed, if at all. The consummation of the Badlands Transaction is subject to numerous conditions, including, among others, (i) the absence of any law, order or injunction prohibiting the Badlands Transaction, (ii) the accuracy of each party’s representations and warranties, subject to certain materiality thresholds set forth in the Purchase and Sale Agreement relating to the Badlands Transaction (as may be amended or otherwise modified from time to time, the “Acquisition Agreement”), and (iii) each party’s compliance with its covenants and agreements contained in the Acquisition Agreement. There can be no assurance that the conditions required to complete the Badlands Transaction, some of which are beyond our control, will be satisfied or waived on the anticipated schedule, or at all.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GUARANTOR DISCLOSURES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subsidiaries that guarantee our obligations under our revolving credit facility (the “Obligated Group”) will guarantee, jointly and severally, the payment of the notes, subject to certain limited exceptions.</w:t>
      </w:r>
    </w:p>
    <w:p>
      <w:pPr>
        <w:spacing w:after="0" w:line="162"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In lieu of providing separate financial statements for the Obligated Group, we have presented the following supplemental summarized combined statement of operations and balance sheet information for the Obligated Group based on Rule 13-01 of the SEC’s Regulation S-X. As described under “</w:t>
      </w:r>
      <w:r>
        <w:rPr>
          <w:rFonts w:ascii="Times New Roman" w:cs="Times New Roman" w:eastAsia="Times New Roman" w:hAnsi="Times New Roman"/>
          <w:sz w:val="17"/>
          <w:szCs w:val="17"/>
          <w:i w:val="1"/>
          <w:iCs w:val="1"/>
          <w:color w:val="auto"/>
        </w:rPr>
        <w:t>Summary—Our Company—Recent Developments—New Revolving Credit Facility</w:t>
      </w:r>
      <w:r>
        <w:rPr>
          <w:rFonts w:ascii="Times New Roman" w:cs="Times New Roman" w:eastAsia="Times New Roman" w:hAnsi="Times New Roman"/>
          <w:sz w:val="17"/>
          <w:szCs w:val="17"/>
          <w:color w:val="auto"/>
        </w:rPr>
        <w:t>,” the composition of the Obligated Group changed in connection with our entry into our revolving credit facility. As a result, the following supplemental summarized combined financial information of the Obligated Group appearing below supersedes such information appearing in our Annual Report on Form 10-K for the year ended December 31, 2024.</w:t>
      </w:r>
    </w:p>
    <w:p>
      <w:pPr>
        <w:spacing w:after="0" w:line="168"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color w:val="auto"/>
        </w:rPr>
        <w:t>All significant intercompany items among the Obligated Group have been eliminated in the supplemental summarized combined financial information. The Obligated Group’s investment balances in our non-guarantor subsidiaries have been excluded from the supplemental summarized combined financial information. Significant intercompany balances and activity for the Obligated Group with other related parties, including our non-guarantor subsidiaries (referred to as “affiliates”), are presented separately in the following supplemental summarized combined financial information.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Summarized combined balance sheet and statement of operations information for the Obligated Group follows: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Obligated Group Summarized Combined Balance Sheet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lef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1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8"/>
              </w:rPr>
              <w:t>127.8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 - affiliates</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226.9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OWNERS’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8"/>
              </w:rPr>
              <w:t>262.0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5,121.7</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5,127.0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Targa Resources Corp. stockholders’ equity (deficit)</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6"/>
              </w:rPr>
              <w:t>(5,156.8)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(5,163.9)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owners’ equity (deficit)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226.9</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Obligated Group Summarized Combined Statement of Operations Information</w:t>
            </w: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2"/>
              </w:rPr>
              <w:t>   — </w:t>
            </w: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52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S-9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to receive net proceeds of approximately $        from this offering, after deducting the underwriting discounts and estimated offering expenses. We expect to use a portion of the net proceeds from this offering to fund the Badlands Transaction (as defined herein) and to use the remaining net proceeds from this offering for general corporate purposes, including to repay borrowings under the Commercial Paper Program. If we do not complete the Badlands Transaction, we expect to use the net proceeds from this offering for general corporate purposes, including to repay borrowings under our Commercial Paper Program, repay other indebtedness, for capital expenditures, for additions to working capital and for investments in our subsidiaries.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we had $1,130.5 million of outstanding borrowings under the Commercial Paper Program. The notes outstanding under the Commercial Paper Program have varying maturities of less than one year. Notes outstanding under the Commercial Paper Program bore interest at a weighted average rate of 5.7% during the year ended December 31, 2024. Borrowings under the Commercial Paper Program have been incurred for general corporate purposes.</w:t>
      </w:r>
    </w:p>
    <w:p>
      <w:pPr>
        <w:spacing w:after="0" w:line="180"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Certain of the underwriters and/or their affiliates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See “</w:t>
      </w:r>
      <w:r>
        <w:rPr>
          <w:rFonts w:ascii="Times New Roman" w:cs="Times New Roman" w:eastAsia="Times New Roman" w:hAnsi="Times New Roman"/>
          <w:sz w:val="18"/>
          <w:szCs w:val="18"/>
          <w:i w:val="1"/>
          <w:iCs w:val="1"/>
          <w:color w:val="auto"/>
        </w:rPr>
        <w:t>Underwriting (Conflicts of Interest)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total capitalization as of December 31, 2024, on an:</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basis;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consummation of this offering and the application of the net proceeds therefrom, assuming completion of the Badlands Transaction,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closing of this offering is not contingent on the consummation of the Badlands Transaction, and there can be no assurance that we will complete the Badlands Transaction. If we do not complete the Badlands Transaction, we expect to use the net proceeds from this offering for general corporate purposes, including to repay borrowings under the Commercial Paper Program, to repay indebtedness, for capital expenditures, for additions to working capital and for investments in our subsidiaries.</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This table should be read together with our historical financial statements and the accompanying notes incorporated by reference into this prospectus supplement and the accompanying base prospectus.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60" w:type="dxa"/>
            <w:vAlign w:val="bottom"/>
            <w:tcBorders>
              <w:top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Debt obligations:</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vMerge w:val="continue"/>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Targa senior revolving credit facility, variable rate (1)</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Senior unsecured notes issued by Targa</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7"/>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5.200% fixed rate, due July 2027</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6.150% fixed rate, due March 2029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4.200% fixed rate, due February 2033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6.125% fixed rate, due March 2033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6.500% fixed rate, due March 2034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5.500% fixed rate, due February 2035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7"/>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4.950% fixed rate, due April 2052</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7"/>
          </w:tcPr>
          <w:p>
            <w:pPr>
              <w:ind w:left="720"/>
              <w:spacing w:after="0"/>
              <w:rPr>
                <w:sz w:val="20"/>
                <w:szCs w:val="20"/>
                <w:color w:val="auto"/>
              </w:rPr>
            </w:pPr>
            <w:r>
              <w:rPr>
                <w:rFonts w:ascii="Times New Roman" w:cs="Times New Roman" w:eastAsia="Times New Roman" w:hAnsi="Times New Roman"/>
                <w:sz w:val="18"/>
                <w:szCs w:val="18"/>
                <w:color w:val="auto"/>
              </w:rPr>
              <w:t>6.250% fixed rate, due July 2052</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6.500% fixed rate, due February 2053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7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w w:val="95"/>
              </w:rPr>
              <w:t>% fixed rate, due 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160" w:type="dxa"/>
            <w:vAlign w:val="bottom"/>
          </w:tcPr>
          <w:p>
            <w:pPr>
              <w:jc w:val="right"/>
              <w:ind w:right="2690"/>
              <w:spacing w:after="0"/>
              <w:rPr>
                <w:sz w:val="20"/>
                <w:szCs w:val="20"/>
                <w:color w:val="auto"/>
              </w:rPr>
            </w:pPr>
            <w:r>
              <w:rPr>
                <w:rFonts w:ascii="Times New Roman" w:cs="Times New Roman" w:eastAsia="Times New Roman" w:hAnsi="Times New Roman"/>
                <w:sz w:val="18"/>
                <w:szCs w:val="18"/>
                <w:color w:val="auto"/>
                <w:w w:val="99"/>
              </w:rPr>
              <w:t>2035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 fixed rate, due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 </w:t>
            </w:r>
          </w:p>
        </w:tc>
        <w:tc>
          <w:tcPr>
            <w:tcW w:w="3160" w:type="dxa"/>
            <w:vAlign w:val="bottom"/>
            <w:shd w:val="clear" w:color="auto" w:fill="CCEEFF"/>
          </w:tcPr>
          <w:p>
            <w:pPr>
              <w:jc w:val="right"/>
              <w:ind w:right="2690"/>
              <w:spacing w:after="0"/>
              <w:rPr>
                <w:sz w:val="20"/>
                <w:szCs w:val="20"/>
                <w:color w:val="auto"/>
              </w:rPr>
            </w:pPr>
            <w:r>
              <w:rPr>
                <w:rFonts w:ascii="Times New Roman" w:cs="Times New Roman" w:eastAsia="Times New Roman" w:hAnsi="Times New Roman"/>
                <w:sz w:val="18"/>
                <w:szCs w:val="18"/>
                <w:color w:val="auto"/>
                <w:w w:val="99"/>
              </w:rPr>
              <w:t>2055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Unamortized discount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unsecured notes issued by the Partnership (2)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7"/>
          </w:tcPr>
          <w:p>
            <w:pPr>
              <w:ind w:left="720"/>
              <w:spacing w:after="0"/>
              <w:rPr>
                <w:sz w:val="20"/>
                <w:szCs w:val="20"/>
                <w:color w:val="auto"/>
              </w:rPr>
            </w:pPr>
            <w:r>
              <w:rPr>
                <w:rFonts w:ascii="Times New Roman" w:cs="Times New Roman" w:eastAsia="Times New Roman" w:hAnsi="Times New Roman"/>
                <w:sz w:val="18"/>
                <w:szCs w:val="18"/>
                <w:color w:val="auto"/>
              </w:rPr>
              <w:t>6.500% fixed rate, due July 2027</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5.000% fixed rate, due January 2028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6.875% fixed rate, due January 2029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5.500% fixed rate, due March 2030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tcPr>
          <w:p>
            <w:pPr>
              <w:ind w:left="720"/>
              <w:spacing w:after="0"/>
              <w:rPr>
                <w:sz w:val="20"/>
                <w:szCs w:val="20"/>
                <w:color w:val="auto"/>
              </w:rPr>
            </w:pPr>
            <w:r>
              <w:rPr>
                <w:rFonts w:ascii="Times New Roman" w:cs="Times New Roman" w:eastAsia="Times New Roman" w:hAnsi="Times New Roman"/>
                <w:sz w:val="18"/>
                <w:szCs w:val="18"/>
                <w:color w:val="auto"/>
              </w:rPr>
              <w:t>4.875% fixed rate, due February 2031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4.000% fixed rate, due January 2032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8"/>
          </w:tcPr>
          <w:p>
            <w:pPr>
              <w:ind w:left="360"/>
              <w:spacing w:after="0"/>
              <w:rPr>
                <w:sz w:val="20"/>
                <w:szCs w:val="20"/>
                <w:color w:val="auto"/>
              </w:rPr>
            </w:pPr>
            <w:r>
              <w:rPr>
                <w:rFonts w:ascii="Times New Roman" w:cs="Times New Roman" w:eastAsia="Times New Roman" w:hAnsi="Times New Roman"/>
                <w:sz w:val="18"/>
                <w:szCs w:val="18"/>
                <w:color w:val="auto"/>
              </w:rPr>
              <w:t>Partnership accounts receivable securitization facility, due August 2025 (3)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Debt issuance costs, net of amortization</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14,174.6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Owners’ equity:</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Targa stockholders’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owners’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18,592.8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S-11</w:t>
            </w: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5" w:right="6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line="25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the Commercial Paper Program are supported through maintaining a minimum available borrowing capacity under our revolving credit facility equal to the aggregate amount outstanding under the Commercial Paper Program, and we reflect such borrowings as amounts outstanding under our revolving credit facility in our Consolidated Financial Statements. As of December 31, 2024, the prior revolving credit facility had no borrowings outstanding and the Commercial Paper Program had approximately $1,130.5 million of borrowings outstanding, resulting in approximately $1,601.9 million of available liquidity, after accounting for outstanding letters of credit. In February 2025, we entered into our revolving credit facility that provides for an initial aggregate principal amount of borrowings of up to $3.5 billion. In connection with our entry into our revolving credit facility, we terminated the prior revolving credit facility. After giving effect to our entry into the revolving credit facility, our available liquidity would have been approximately $2,351.9 million as of December 31, 2024, after accounting for outstanding letters of credit. For more information on our revolving credit facility, see “</w:t>
      </w:r>
      <w:r>
        <w:rPr>
          <w:rFonts w:ascii="Times New Roman" w:cs="Times New Roman" w:eastAsia="Times New Roman" w:hAnsi="Times New Roman"/>
          <w:sz w:val="18"/>
          <w:szCs w:val="18"/>
          <w:i w:val="1"/>
          <w:iCs w:val="1"/>
          <w:color w:val="auto"/>
        </w:rPr>
        <w:t>Summary—Our Company—Recent Developments—New Revolving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guarantee all of the Partnership’s outstanding senior unsecured notes. Our guarantor subsidiaries, including the Partnership, guarantee our revolving credit facility and Commercial Paper Program and existing senior notes, and will guarantee the notes offered hereby.</w:t>
      </w:r>
    </w:p>
    <w:p>
      <w:pPr>
        <w:ind w:left="540" w:right="96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Partnership had $330.0 million of qualifying receivables under the Securitization Facility, resulting in $270.0 million of availability thereunder.</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40"/>
          </w:cols>
          <w:pgMar w:left="320" w:top="455" w:right="5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Targa will issue the 2035 notes and the 2055 notes as separate series of its debt securities described in the accompanying base prospectus. The notes will be issued under an indenture entered into on April 6, 2022, as supplemented by a supplemental indenture establishing the notes to be dated as of the closing of this offering (collectively, the “indenture”), among Targa, certain subsidiary guarantors, and U.S. Bank Trust Company, National Association, as trustee (the “trustee”). This description is a summary of the material provisions of the notes and the indenture. The summary of selected provisions of the notes and the indenture referred to below supplements, and to the extent inconsistent, supersedes and replaces, the description of the general terms and provisions of the debt securities and the indenture contained in the accompanying prospectus under the caption “</w:t>
      </w:r>
      <w:r>
        <w:rPr>
          <w:rFonts w:ascii="Times New Roman" w:cs="Times New Roman" w:eastAsia="Times New Roman" w:hAnsi="Times New Roman"/>
          <w:sz w:val="18"/>
          <w:szCs w:val="18"/>
          <w:i w:val="1"/>
          <w:iCs w:val="1"/>
          <w:color w:val="auto"/>
        </w:rPr>
        <w:t>Description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This description does not restate those agreements and instruments in their entirety. You should refer to the notes and the indenture,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available as set forth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a complete description of our obligations and your rights.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Defined terms used in this description, but not defined herein have the meanings assigned to them under the caption “</w:t>
      </w:r>
      <w:r>
        <w:rPr>
          <w:rFonts w:ascii="Times New Roman" w:cs="Times New Roman" w:eastAsia="Times New Roman" w:hAnsi="Times New Roman"/>
          <w:sz w:val="18"/>
          <w:szCs w:val="18"/>
          <w:i w:val="1"/>
          <w:iCs w:val="1"/>
          <w:color w:val="auto"/>
        </w:rPr>
        <w:t>Description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Securities—Glossary</w:t>
      </w:r>
      <w:r>
        <w:rPr>
          <w:rFonts w:ascii="Times New Roman" w:cs="Times New Roman" w:eastAsia="Times New Roman" w:hAnsi="Times New Roman"/>
          <w:sz w:val="18"/>
          <w:szCs w:val="18"/>
          <w:color w:val="auto"/>
        </w:rPr>
        <w:t>” in the accompanying base prospectus. In this description, the terms “Targa,” “we,” “us” and “our” refer only to Targa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 and not to any of its subsidiaries. The registered holder of a note (each, a “holder”) will be treated as the owner of it for all purposes. Only registered holders will have rights under the indenture.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right="3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general unsecured, senior obligations of Targa, ranking equally with all other existing and future unsecured and unsubordinated indebtedness of Targa;</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initially be issued in an aggregate principal amount of $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the 2035 notes and an aggregate principal amount of</w:t>
      </w:r>
    </w:p>
    <w:p>
      <w:pPr>
        <w:spacing w:after="0" w:line="38" w:lineRule="exact"/>
        <w:rPr>
          <w:sz w:val="20"/>
          <w:szCs w:val="20"/>
          <w:color w:val="auto"/>
        </w:rPr>
      </w:pPr>
    </w:p>
    <w:p>
      <w:pPr>
        <w:sectPr>
          <w:pgSz w:w="11900" w:h="16838" w:orient="portrait"/>
          <w:cols w:equalWidth="0" w:num="5">
            <w:col w:w="720" w:space="360"/>
            <w:col w:w="4400" w:space="120"/>
            <w:col w:w="60" w:space="120"/>
            <w:col w:w="240" w:space="120"/>
            <w:col w:w="4960"/>
          </w:cols>
          <w:pgMar w:left="320" w:top="455" w:right="4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            with respect to the 2055 notes;</w:t>
      </w:r>
    </w:p>
    <w:p>
      <w:pPr>
        <w:sectPr>
          <w:pgSz w:w="11900" w:h="16838" w:orient="portrait"/>
          <w:cols w:equalWidth="0" w:num="1">
            <w:col w:w="11100"/>
          </w:cols>
          <w:pgMar w:left="320" w:top="455" w:right="479" w:bottom="1440" w:gutter="0" w:footer="0" w:header="0"/>
          <w:type w:val="continuous"/>
        </w:sectPr>
      </w:pP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will mature on 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2035 with respect to the 2035 notes and on 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2055 with respect to the 2055 notes;</w:t>
      </w:r>
    </w:p>
    <w:p>
      <w:pPr>
        <w:spacing w:after="0" w:line="142" w:lineRule="exact"/>
        <w:rPr>
          <w:sz w:val="20"/>
          <w:szCs w:val="20"/>
          <w:color w:val="auto"/>
        </w:rPr>
      </w:pPr>
    </w:p>
    <w:p>
      <w:pPr>
        <w:sectPr>
          <w:pgSz w:w="11900" w:h="16838" w:orient="portrait"/>
          <w:cols w:equalWidth="0" w:num="12">
            <w:col w:w="720" w:space="360"/>
            <w:col w:w="1100" w:space="140"/>
            <w:col w:w="40" w:space="140"/>
            <w:col w:w="40" w:space="140"/>
            <w:col w:w="40" w:space="140"/>
            <w:col w:w="40" w:space="140"/>
            <w:col w:w="3220" w:space="140"/>
            <w:col w:w="40" w:space="140"/>
            <w:col w:w="40" w:space="140"/>
            <w:col w:w="40" w:space="140"/>
            <w:col w:w="40" w:space="140"/>
            <w:col w:w="3980"/>
          </w:cols>
          <w:pgMar w:left="320" w:top="455" w:right="479" w:bottom="1440" w:gutter="0" w:footer="0" w:header="0"/>
          <w:type w:val="continuous"/>
        </w:sect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$2,000 and integral multiples of $1,000 in excess thereof;</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bear interest at an annual rate of        % with respect to the 2035 notes and an annual rate of        % with respect to the 2055 notes; and</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redeemable at any time at our option at the redemption prices described below under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2035 notes and the 2055 notes each constitute a separate series of debt securities under the indenture. The indenture does not limit the amount of debt securities we may issue under the indenture from time to time in one or more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2035 notes will be issued as a series of debt securities under the indenture in an initial aggregate principal amount of $        and will mature on          , 2035. The 2055 notes will be issued as a series of debt securities under the indenture in an initial aggregate principal amount of $        and will mature on          , 2055.</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Interest on each series of notes will accrue from and including          , 2025 or from and including the most recent interest payment date to which interest has been paid or provided for.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29"/>
        </w:trPr>
        <w:tc>
          <w:tcPr>
            <w:tcW w:w="83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We will pay interest on the notes semi-annually on               and               of each year, beginning on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   , 2025. We will make</w:t>
            </w:r>
          </w:p>
        </w:tc>
      </w:tr>
      <w:tr>
        <w:trPr>
          <w:trHeight w:val="216"/>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interest payments on the notes to the persons in whose names the notes are registered at the close of business on 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or               , as</w:t>
            </w:r>
          </w:p>
        </w:tc>
      </w:tr>
      <w:tr>
        <w:trPr>
          <w:trHeight w:val="234"/>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applicable, before the next interest payment date.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Interest will be computed on the basis of a 360-day year consisting of twelve 30-day months. If any payment date with respect to the notes falls on a day that is not a business day, the payment will be made on the next business day, and no interest will accrue on the amount of interest due on that payment date for the period from and after the interest payment date, maturity date, or redemption date to the date of payment. Under the indenture, a business day is a day that is not a Saturday, a Sunday or a day on which banking institutions in the City of New York, New York or a place of payment are authorized or obligated by law, regulation or executive order to remain closed.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the notes, issue additional notes having the same terms as either series of notes offered by this prospectus supplement, except for the issue date, issue price, and in some cases, the first interest payment date. Additional notes issued in this manner will form a single series with the previously issued and outstanding notes of such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Prior to          ,    (three months prior to maturity), in the case of the 2035 notes (the “2035 Par Call Date”), and prior to          ,    (six months prior to maturity), in the case of the 2055 notes (the “2055 Par Call Date” and, together with the 2035 Par Call Date, each a “Par Call Date”), we may redeem the applicable notes at our option, in whole or in part, at any time and from time to time, at a redemption price equal to the greater of:</w:t>
      </w:r>
    </w:p>
    <w:p>
      <w:pPr>
        <w:spacing w:after="0" w:line="85"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w:t>
      </w:r>
    </w:p>
    <w:p>
      <w:pPr>
        <w:spacing w:after="0" w:line="27"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8"/>
          <w:szCs w:val="18"/>
          <w:color w:val="auto"/>
        </w:rPr>
        <w:t>(assuming such notes matured on the applicable Par Call Date) on a semi-annual basis (assuming a 360-day year consisting of twelve 30-day months) at the Treasury Rate (as defined below) plus (i)      basis points, in the case of the 2035 notes, or (ii)      basis points, in the case of the 2055 notes, less</w:t>
      </w:r>
    </w:p>
    <w:p>
      <w:pPr>
        <w:spacing w:after="0" w:line="91" w:lineRule="exact"/>
        <w:rPr>
          <w:sz w:val="20"/>
          <w:szCs w:val="20"/>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date of redemption;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applicable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with respect to a series of notes, we may redeem the notes of such series, in whole or in part, at any time and from time to time, at a redemption price equal to 100% of the principal amount of the notes being redeemed plus accrued and unpaid interest thereon to the redemption date.</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46"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maturities—Nominal” (or any successor caption or heading) (“H.15 TCM”). In determining the Treasury Rate, we shall select, as applicable: (1) the yield for the Treasury constant maturity on H.15 exactly equal to the period from the redemption date to the applicable Par Call Date with respect to the notes to be redeemed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Notes called for redemption will become due on the date fixed for redemption, subject to satisfaction of any conditions to such redemption. Notices of redemption will be sent at least 10 days but not more than 60 days before the redemption date to each holder of the notes to be redeemed. The notice of redemption for the notes to be redeemed will state, among other things, the amount of such notes to be redeemed, if less than all of the outstanding notes of such series are to be redeemed, the redemption date, the redemption price (or the method of calculating it) and each place that payment will be made upon presentation and surrender of the notes to be redeemed. Any such redemption may, at our discretion, be conditioned on the satisfaction or waiver of one or more conditions, including a sale of securities or other financing, in each case as specified in the notice to the trustee. A notice of conditional redemption will be of no effect unless all conditions to the redemption have occurred on or before the redemption date or have been waived by us on or before the redemption date. We will provide notice of any waiver of a condition or failure to meet such conditions no later than the redemption date.</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we default in payment of the redemption price, interest will cease to accrue on any notes that have been called for redemption on the redemption date. If less than all the notes of a series are redeemed at any time, the trustee will select the notes of such series (or any portion of notes in integral multiples of $1,000) to be redeemed on a pro rata basis or by any other method the trustee deems fair and appropriate, but beneficial interests in notes in global form will be selected for redemption in accordance with DTC’s customary practices.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shall have no responsibility for calculating the redemption price.</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Subsidiary Guarantees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notes initially will be guaranteed by each of our subsidiaries that guarantees the Credit Agreement on the terms provided for in the base indenture attached to the accompanying base prospectus. None of our other subsidiaries will guarantee the notes upon their issuance; however, if at any time following the issuance of the notes, any subsidiary that is not already a guarantor of the notes guarantees any indebtedness of us under the Credit Agreement, then we will cause such subsidiary to execute and deliver to the trustee a supplemental indenture within 60 days after it guarantees such indebtedness under the Credit Agreement, pursuant to which such subsidiary will become a guarantor of the notes. The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w:t>
      </w:r>
    </w:p>
    <w:p>
      <w:pPr>
        <w:spacing w:after="0" w:line="18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The subsidiary guarantees may be released under certain circumstances which are described under the caption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Subsidiary Guarantees</w:t>
      </w:r>
      <w:r>
        <w:rPr>
          <w:rFonts w:ascii="Times New Roman" w:cs="Times New Roman" w:eastAsia="Times New Roman" w:hAnsi="Times New Roman"/>
          <w:sz w:val="18"/>
          <w:szCs w:val="18"/>
          <w:color w:val="auto"/>
        </w:rPr>
        <w:t>” in the accompanying base 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unsecured and unsubordinated obligations of Targa and will rank equally with all other existing and future unsubordinated indebtedness of Targa. The guarantee of the notes by any of our subsidiaries will be an unsecured and unsubordinated obligation of such subsidiary and will rank equally with all other existing and future unsecured and unsubordinated indebtedness of such subsidiary. The notes and each guarantee, if any, will effectively rank junior to any future indebtedness of Targa and any subsidiary that guarantees the notes that is both secured and unsubordinated to the extent of the value of the assets securing such indebtedness, and the notes will structurally rank junior to all indebtedness and other liabilities of Targa’s existing and future subsidiaries that do not guarantee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not required to make any mandatory redemption or sinking fund payments with respect to the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9"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The notes will have the benefit of the covenants set forth under “</w:t>
      </w:r>
      <w:r>
        <w:rPr>
          <w:rFonts w:ascii="Times New Roman" w:cs="Times New Roman" w:eastAsia="Times New Roman" w:hAnsi="Times New Roman"/>
          <w:sz w:val="18"/>
          <w:szCs w:val="18"/>
          <w:i w:val="1"/>
          <w:iCs w:val="1"/>
          <w:color w:val="auto"/>
        </w:rPr>
        <w:t>Description of Debt Securities—Certain Covenants</w:t>
      </w:r>
      <w:r>
        <w:rPr>
          <w:rFonts w:ascii="Times New Roman" w:cs="Times New Roman" w:eastAsia="Times New Roman" w:hAnsi="Times New Roman"/>
          <w:sz w:val="18"/>
          <w:szCs w:val="18"/>
          <w:color w:val="auto"/>
        </w:rPr>
        <w:t>” in the accompanying base 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obtained the information in this section concerning The Depository Trust Company (“DTC”) and its book-entry systems and procedures from DTC, but we take no responsibility for the accuracy of this information. In addition, the description in this section reflects our understanding of the rules and procedures of DTC as they are currently in effect. DTC could change its rules and procedures at any time. Each series of the notes will initially be represented by one or more fully registered global notes. Each such global note will be deposited with, or on behalf of, DTC or any successor thereto and registered in the name of Cede &amp; Co. (DTC’s nominee). You may hold your interests in the global notes through DTC either as a participant in DTC or indirectly through organizations that are participants in DTC.</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So long as DTC or its nominee is the registered owner of the global securities representing the notes, DTC or such nominee will be considered the sole owner and holder of the notes for all purposes of the notes and the indenture. 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Accordingly, each person owning a beneficial interest in a note must rely on the procedures of DTC or its nominee and, if such person is not a participant, on the procedures of the participant through which such person owns its interest, in order to exercise any rights of a holder of notes.</w:t>
      </w:r>
    </w:p>
    <w:p>
      <w:pPr>
        <w:spacing w:after="0" w:line="160"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Depository Trust Company</w:t>
      </w:r>
      <w:r>
        <w:rPr>
          <w:rFonts w:ascii="Times New Roman" w:cs="Times New Roman" w:eastAsia="Times New Roman" w:hAnsi="Times New Roman"/>
          <w:sz w:val="18"/>
          <w:szCs w:val="18"/>
          <w:color w:val="auto"/>
        </w:rPr>
        <w:t>. DTC will act as securities depositary for the notes. The notes will be issued as fully registered notes registered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name of Cede &amp; Co. DTC has advised us as follows: DTC is</w:t>
      </w:r>
    </w:p>
    <w:p>
      <w:pPr>
        <w:spacing w:after="0" w:line="66"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under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the provisions of Section 17A of the Securities Exchange Act of 1934.</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DTC holds securities that its direct participants deposit with DTC. DTC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Direct participants of DTC include securities brokers and dealers (including the underwriters), banks, trust companies, clearing corporations, and certain other organizations. DTC is owned by a number of its direct participants. Access to the DTC system is also available to securities brokers and dealers, banks and trust companies that clear through or maintain a custodial relationship with a direct participant, either directly or indirectly.</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you are not a direct participant or an indirect participant and you wish to purchase, sell or otherwise transfer ownership of, or other interests in, notes, you must do so through a direct participant or an indirect participant. DTC agrees with and represents to DTC participants that it will administer its book-entry system in accordance with its rules and by-laws and requirements of law. The SEC has on file a set of the rules applicable to DTC and its direct participants.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Purchases of notes under DTC’s system must be made by or through direct participants, who will receive a credit for the notes on DTC’s records. The ownership interest of each beneficial owner is in turn to be recorded on the records of direct participants and indirect participants. Beneficial owners will not receive written confirmation from DTC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notes are to be accomplished by entries made on the books of participants acting on behalf of beneficial owners. Beneficial owners will not receive certificates representing their ownership interests in the notes, except in the event that use of the book-entry system for the notes is discontinued.</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participants with DTC are registered in the name of DTC’s nominee, Cede &amp; Co., or such other name as may be requested by an authorized representative of DTC. The deposit of notes with DTC and their registration in the name of Cede &amp; Co. do not effect any change in beneficial ownership. DTC has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arrangements among them, subject to any statutory or regulatory requirements as may be in effect from time to time.</w:t>
      </w:r>
    </w:p>
    <w:p>
      <w:pPr>
        <w:spacing w:after="0" w:line="22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Euroclear and Clearstream</w:t>
      </w:r>
      <w:r>
        <w:rPr>
          <w:rFonts w:ascii="Times New Roman" w:cs="Times New Roman" w:eastAsia="Times New Roman" w:hAnsi="Times New Roman"/>
          <w:sz w:val="18"/>
          <w:szCs w:val="18"/>
          <w:color w:val="auto"/>
        </w:rPr>
        <w:t>. If the depositary for a global debt security is DTC, you may hold interests in the global debt security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Banking, société anonyme, which we refer to as “Clearstream,” or Euroclear Bank SA/NV, as operator of the Euroclear System, which we refer to as “Euroclear,” in each case, as a participant in DTC. Euroclear and Clearstream will hold interests, in each case, on behalf of their participants through customers’ securities accounts in the names of Euroclear and Clearstream on the books of their respective depositaries, which in turn will hold such interests in customers’ securities in the depositaries’ names on DTC’s books. Payments, deliveries, transfers, exchanges, notices and other matters relating to the notes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one hand, and other participants in DTC, on the other hand, would also be subject to DTC’s rules and procedures. 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 or sales of their interests between the U.S. and European clearing systems, and those transactions may settle later than transactions within one clearing system. We have obtained the foregoing information concerning Euroclear and Clearstream from sources we believe to be reliable, but we take no responsibility for the accuracy of this information.</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Book-Entry Format</w:t>
      </w:r>
      <w:r>
        <w:rPr>
          <w:rFonts w:ascii="Times New Roman" w:cs="Times New Roman" w:eastAsia="Times New Roman" w:hAnsi="Times New Roman"/>
          <w:sz w:val="18"/>
          <w:szCs w:val="18"/>
          <w:color w:val="auto"/>
        </w:rPr>
        <w:t>. Under the book-entry format, the trustee will pay interest or principal payments to Cede &amp; Co., as nominee of DTC. DTC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forward the payment to the direct participants, who will then forward the payment to the indirect participants or to you as the beneficial owner. You may experience some delay in receiving your payments under this system. Neither we, the trustee under the indenture nor any paying agent has any direct responsibility or liability for the payment of principal or interest on the notes to owners of beneficial interests in the notes.</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DTC is required to make book-entry transfers on behalf of its direct participants and is required to receive and transmit payments of principal, premium, if any, and interest on the notes. Any direct participant or indirect participant with which you have an account is similarly required to make book-entry transfers and to receive and transmit payments with respect to the notes on your behalf. We, the underwriters and the trustee under the indenture have no responsibility for any aspect of the actions of DTC or any of its direct or indirect participants. We, the underwriters and the trustee under the indenture have no responsibility or liability for any aspect of the records kept by DTC or any of its direct or indirect participants relating to, or payments made on account of, beneficial ownership interests in the notes or for maintaining, supervising or reviewing any records relating to such beneficial ownership interests. We also do not supervise these systems in any way.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will not recognize you as a holder under the indenture, and you can only exercise the rights of a holder indirectly through DTC and its direct participants. DTC has advised us that it will only take action regarding a note if one or more of the direct participants to whom the note is credited directs DTC to take such action and only in respect of the portion of the aggregate principal amount of the notes as to which that participant or participants has or have given that direction. DTC can only act on behalf of its direct participants. Your ability to pledge notes to non-direct participants, and to take other actions, may be limited because you will not possess a physical certificate that represents your notes.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such other DTC nominee) will consent or vote with respect to the notes unless authorized by a direct participant in accordance with DTC’s procedures. Under its usual procedures, DTC will mail an omnibus proxy to us as soon as possible after the record date. The omnibus proxy assigns Cede &amp; Co.’s consenting or voting rights to those direct participants to whose accounts the notes are credited on the record date (identified in a listing attached to the omnibus proxy).</w:t>
      </w:r>
    </w:p>
    <w:p>
      <w:pPr>
        <w:spacing w:after="0" w:line="180"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DTC has agreed to the foregoing procedures in order to facilitate transfers of the notes among its participants. However, DTC is under no obligation to perform or continue to perform those procedures, and may discontinue those procedures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However, if it acquires any conflicting interest within the meaning of the Trust Indenture Act after a default has occurred and is continuing, it must eliminate the conflict within 90 days, apply to the SEC for permission to continue as trustee or resign.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not cured or waived, the trustee is required to exercise such of the rights and powers vested in it by the indenture and use the same degree of care and skill in their exercise as a prudent man would exercise or use under the circumstances in the conduct of his own affairs. Subject to such provisions, the trustee will not be under any obligation to exercise any of its rights or powers under the indenture at the request of any of the holders of notes unless they have offered to the trustee reasonable security or indemnity against the costs, expenses and liabilities it may incur.</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will be the trustee under the indenture and has been appointed by Targa as registrar and paying agent with regard to the notes. The trustee’s address is 13737 Noel Rd, Suite 800, Dallas, Texas 75240. The trustee and its affiliates maintain commercial banking and other relationships with Targa.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consequences that may be relevant to the acquisition, ownership and disposition of the notes. This discussion is based upon the provisions of the Internal Revenue Code of 1986, as amended (the “Code”), applicable U.S. Treasury regulations promulgated thereunder, judicial authority and administrative interpretations, all as of the date of this prospectus supplement, and all of which are subject to change, possibly with retroactive effect, or are subject to differing interpretations. We cannot assure you that the Internal Revenue Service (the “IRS”) will not challenge one or more of the U.S. federal income tax consequences described in this discussion, and we have not obtained, nor do we intend to obtain, a ruling from the IRS or an opinion of counsel with respect to the U.S. federal income tax consequences of acquiring, owning or disposing of the notes.</w:t>
      </w:r>
    </w:p>
    <w:p>
      <w:pPr>
        <w:spacing w:after="0" w:line="189"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limited to holders (as defined below) who purchase the notes in this offering for cash at a price equal to the issue price of the notes (i.e., the first price at which a substantial amount of each series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consequences), or the tax consequences arising under the laws of any non-U.S., state, local or other jurisdiction or any income tax treaty. In addition, this discussion does not address all tax consequences that may be important to a particular holder in light of such holder’s circumstances, or to certain categories of investors that may be subject to special rules, such as:</w:t>
      </w:r>
    </w:p>
    <w:p>
      <w:pPr>
        <w:spacing w:after="0" w:line="94"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 hold the notes through non-U.S. brokers or other non-U.S. intermediaries;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as part of a hedge, straddle, conversion or other “synthetic security”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tax-exempt for U.S. federal income tax purposes;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notes through individual retirement accounts and other tax-deferred accounts;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the notes as a result of such income being recognized on an “applicable financial statement” (within the meaning of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treated as pass-through entities for U.S. federal income tax purposes and holders of interests therein;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the notes in this offering and own indebtedness under the Commercial Paper Program or other indebtedness which is repaid with proceeds from this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notes under the constructive sale provisions of the Code.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the notes, the U.S. federal income tax treatment of a partner of the partnership generally will depend upon the status of the partner and the activities of the partnership and upon certain determinations made at the partner level. Partnerships (or any entity or arrangement treated as a partnership for U.S. federal income tax purposes) considering an investment in the notes and the partners thereof should consult their own tax advisors as to the particular U.S. federal income tax consequences of acquiring, owning and disposing of the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a “holder” means a U.S. holder or a non-U.S. holder (as defined below), as applicable.</w:t>
      </w:r>
    </w:p>
    <w:p>
      <w:pPr>
        <w:spacing w:after="0" w:line="22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SHOULD NOT BE CONSTRUED TO BE TAX ADVICE TO ANY PARTICULAR INVESTOR. PROSPECTIVE INVESTORS CONSIDERING THE PURCHASE OF THE NOTES SHOULD CONSULT THEIR OWN TAX ADVISORS REGARDING THE APPLICATION OF THE U.S. FEDERAL INCOME TAX LAWS TO THEIR PARTICULAR SITUATIONS AS WELL AS ANY TAX CONSEQUENCES OF THE ACQUISITION, OWNERSHIP AND DISPOSITION OF THE NOTES UNDER OTHER U.S. FEDERAL TAX LAWS OR UNDER THE LAWS OF ANY STATE, LOCAL OR NON-U.S. JURISDICTION OR UNDER ANY APPLICABLE INCOME TAX TREATY.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Additional Payments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certain circumstances (see “</w:t>
      </w:r>
      <w:r>
        <w:rPr>
          <w:rFonts w:ascii="Times New Roman" w:cs="Times New Roman" w:eastAsia="Times New Roman" w:hAnsi="Times New Roman"/>
          <w:sz w:val="18"/>
          <w:szCs w:val="18"/>
          <w:i w:val="1"/>
          <w:iCs w:val="1"/>
          <w:color w:val="auto"/>
        </w:rPr>
        <w:t>Description of the Notes—Optional Redemption</w:t>
      </w:r>
      <w:r>
        <w:rPr>
          <w:rFonts w:ascii="Times New Roman" w:cs="Times New Roman" w:eastAsia="Times New Roman" w:hAnsi="Times New Roman"/>
          <w:sz w:val="18"/>
          <w:szCs w:val="18"/>
          <w:color w:val="auto"/>
        </w:rPr>
        <w:t>”), we may elect to redeem the notes prior to maturity or to pay amounts on the notes that are in excess of stated interest or principal on the notes. If any of those contingencies were to occur, it would affect the amount and timing of income recognized by you. Further, those contingencies may implicate the provisions of the U.S. Treasury regulations relating to “contingent payment debt instruments.” We do not intend to treat the possibility of such contingencies occurring as causing the notes to be treated as contingent payment debt instruments. Our position may be binding on you unless you disclose your contrary position to the IRS in the manner required by applicable U.S. Treasury regulations. However, our position is not binding on the IRS, and it is possible that the IRS may take a different position, in which case, if the IRS’s position is sustained, you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You should consult your own tax advisor regarding the possible application of the contingent payment debt instrument rules to the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will apply to you if you are a U.S. holder of a note. You are a “U.S. holder” for purposes of this discussion if you are a beneficial owner of a note and you are for U.S. federal income tax purposes:</w:t>
      </w:r>
    </w:p>
    <w:p>
      <w:pPr>
        <w:spacing w:after="0" w:line="67"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that has one or more “United States persons” (within the meaning of Section 7701(a)(30) of the Code) that have the authority to control all substantial decisions of the trust, or (ii) that has made a valid election under applicable U.S. Treasury regulations to be treated as a United States person.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on the Notes</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Interest on the notes generally will be taxable to you as ordinary income at the time it is received or accrued in accordance with your regular method of accounting for U.S. federal income tax purposes.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 of the Notes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You generally will recognize capital gain or loss on the sale, redemption, exchange, retirement or other taxable disposition of a note in an amount equal to the difference, if any, between the amount realized on such disposition and your adjusted tax basis in the note. The amount realized will include the amount of any cash and the fair market value of any other property received for the note. To the extent that any portion of the amount realized on a sale, redemption, exchange, retirement or other taxable disposition of a note is attributable to accrued but unpaid interest on the note, this amount generally will not be included in the “amount realized” but will instead be treated in the same manner as described above in “—Tax Consequences to U.S. Holders</w:t>
      </w:r>
      <w:r>
        <w:rPr>
          <w:rFonts w:ascii="Times New Roman" w:cs="Times New Roman" w:eastAsia="Times New Roman" w:hAnsi="Times New Roman"/>
          <w:sz w:val="18"/>
          <w:szCs w:val="18"/>
          <w:i w:val="1"/>
          <w:iCs w:val="1"/>
          <w:color w:val="auto"/>
        </w:rPr>
        <w:t>—Interest on the Notes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Your adjusted tax basis in the note will generally equal the amount you paid for the note. Any gain or loss will be capital gain or loss and will be long-term capital gain or loss if you held the note for more than one year at the time of the sale, redemption, exchange, retirement or other taxable disposition. Otherwise, such gain or loss will be short-term capital gain or loss. Long-term capital gains of individuals, estates and trusts currently are eligible for reduced rates of U.S. federal income tax. The deductibility of capital losses may be subject to limitation.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reporting generally will apply to payments of interest on, and the proceeds of the sale or other disposition (including a redemption, exchange or retirement) of, the notes held by you, and backup withholding will apply to such payments unless you provide to the applicable withholding agent your taxpayer identification number, certified under penalties of perjury, as well as certain other information or otherwise establish an exemption from backup withholding. Backup withholding is not an additional tax. Any amount withheld under the backup withholding rules is allowable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Tax on Net Investment Income</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 additional 3.8% tax is imposed on the “net investment income” of certain U.S. citizens and U.S. residents, and on the undistributed “net investment income” of certain estates and trusts. Among other items, “net investment income” generally includes gross income from interest and net gain from the disposition of property, such as the notes, less certain deductions. You should consult your own tax advisor with respect to this additional tax and its applicability in your particular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following summary will apply to you if you are a non-U.S. holder of a note. You are a “non-U.S. holder” for purposes of this discussion if you are a beneficial owner of a note that is, for U.S. federal income tax purposes, an individual, corporation, estate or trust that is not a U.S. holder.</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on the Notes</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withholding, payments to you of interest on the notes generally will not be subject to U.S. federal income tax and will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exempt from withholding of U.S. federal income tax under the “portfolio interest” exemption if you properly certify as to your non-U.S. status, as described below, and:</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(actually or constructively);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the notes is not effectively connected with your conduct of a U.S. trade or business.</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portfolio interest exemption generally applies only if you certify as to your non-U.S. status prior to payment. You can generally meet this certification requirement by providing a properly executed IRS Form W-8BEN or IRS Form W-8BEN-E (or other applicable form or successor form) to the applicable withholding agent. If you hold the notes through a financial institution or other agent acting on your behalf, you may be required to provide appropriate certifications to the agent. Your agent will then generally be required to provide appropriate certifications to the applicable withholding agent, either directly or through other intermediaries. Special rules apply to non-U.S. partnerships, estates and trusts, and in certain circumstances certifications as to the non-U.S. status of partners, trust owners or beneficiaries may have to be provided to the applicable withholding agent. In addition, special rules apply to qualified intermediaries that enter into withholding agreements with the IRS.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withholding tax at a 30% rate, unless (i) you provide the applicable withholding agent with a properly executed IRS Form W-8BEN or IRS Form W-8BEN-E (or other applicable form or successor form) claiming an exemption from (or a reduction of) withholding under the benefits of an applicable income tax treaty, or (ii) the payments of such interest are effectively connected with your conduct of a trade or business in the United States (and, if required by an applicable income tax treaty, you maintain a permanent establishment or fixed base in the United States to which such interest is attributable) and you meet the certification requirements described below. See “—Tax Consequences to Non-U.S. Holders</w:t>
      </w:r>
      <w:r>
        <w:rPr>
          <w:rFonts w:ascii="Times New Roman" w:cs="Times New Roman" w:eastAsia="Times New Roman" w:hAnsi="Times New Roman"/>
          <w:sz w:val="18"/>
          <w:szCs w:val="18"/>
          <w:i w:val="1"/>
          <w:iCs w:val="1"/>
          <w:color w:val="auto"/>
        </w:rPr>
        <w:t>—Income or Gain Effectively Connected with a U.S.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Business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and below must be provided to the applicable withholding agent prior to the payment of interest and must be updated periodically. If you do not timely provide the applicable withholding agent with the required certification, but you qualify for an exemption or a reduced rate under an applicable income tax treaty, you may obtain a refund of any excess amounts withheld if you timely provide the required information or appropriate claim form to the IRS.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 of the Notes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of backup withholding, you generally will not be subject to U.S. federal income tax on any gain recognized on the sale, redemption, exchange, retirement or other taxable disposition of a note unless:</w:t>
      </w:r>
    </w:p>
    <w:p>
      <w:pPr>
        <w:spacing w:after="0" w:line="67" w:lineRule="exact"/>
        <w:rPr>
          <w:sz w:val="20"/>
          <w:szCs w:val="20"/>
          <w:color w:val="auto"/>
        </w:rPr>
      </w:pPr>
    </w:p>
    <w:p>
      <w:pPr>
        <w:ind w:left="1080" w:right="3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income tax treaty, you maintain a permanent establishment or fixed base in the United States to which such gain is attributable); or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160"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If your gain is described in the first bullet point above, you generally will be subject to U.S. federal income tax in the manner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Tax Consequences to Non-U.S. Holders</w:t>
      </w:r>
      <w:r>
        <w:rPr>
          <w:rFonts w:ascii="Times New Roman" w:cs="Times New Roman" w:eastAsia="Times New Roman" w:hAnsi="Times New Roman"/>
          <w:sz w:val="18"/>
          <w:szCs w:val="18"/>
          <w:i w:val="1"/>
          <w:iCs w:val="1"/>
          <w:color w:val="auto"/>
        </w:rPr>
        <w:t>—Income or Gain Effectively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Connected with a U.S. Trade or Business</w:t>
      </w:r>
      <w:r>
        <w:rPr>
          <w:rFonts w:ascii="Times New Roman" w:cs="Times New Roman" w:eastAsia="Times New Roman" w:hAnsi="Times New Roman"/>
          <w:sz w:val="18"/>
          <w:szCs w:val="18"/>
          <w:color w:val="auto"/>
        </w:rPr>
        <w:t>”. If you are a non-U.S. holder described in the second bullet point above, you will be subject to a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of 30% (or a lower applicable income tax treaty rate) on the gain derived from the sale or other disposition of a note, which gain may be offset by certain U.S. source capital losses. To the extent that any portion of the amount recognized on a sale, redemption, exchange, retirement or other taxable disposition of a note is attributable to accrued but unpaid interest on the note, this amount generally will be treated in the same manner as described above in “—Tax Consequences to Non-U.S. Holders—</w:t>
      </w:r>
      <w:r>
        <w:rPr>
          <w:rFonts w:ascii="Times New Roman" w:cs="Times New Roman" w:eastAsia="Times New Roman" w:hAnsi="Times New Roman"/>
          <w:sz w:val="18"/>
          <w:szCs w:val="18"/>
          <w:i w:val="1"/>
          <w:iCs w:val="1"/>
          <w:color w:val="auto"/>
        </w:rPr>
        <w:t>Interest on the Notes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or Gain Effectively Connected with a U.S. Trade or Business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any interest on the notes or gain from the sale, redemption, exchange, retirement or other taxable disposition of the notes is effectively connected with your conduct of a U.S. trade or business, then the interest income or gain will be subject to U.S. federal income tax at regular graduated income tax rates generally in the same manner as if you were a U.S. holder, unless an applicable income tax treaty provides otherwise. Effectively connected interest income will not be subject to U.S. federal withholding tax if you satisfy certain certification requirements by providing to the applicable withholding agent a properly executed IRS Form W-8ECI (or successor form). In addition, if you are a corporation, that portion of your earnings and profits that is effectively connected with your U.S. trade or business may also be subject to a “branch profits tax” at a 30% rate, unless an applicable income tax treaty provides for a lower rate. For this purpose, interest received on a note and gain recognized on the disposition of a note will be included in earnings and profits if the interest or gain is effectively connected with your conduct of a U.S. trade or business.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Payments to you of interest on a note, and amounts withheld from such payments, if any, generally will be required to be reported to the IRS and to you. Copies of the information returns reporting such interest payments and withholding may also be made available to the tax authorities of the country in which you reside or are established under the provisions of a specific treaty or agreement.</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Backup withholding generally will not apply to payments to you of interest on a note if the certification described in “—Tax Consequences to Non-U.S. Holders</w:t>
      </w:r>
      <w:r>
        <w:rPr>
          <w:rFonts w:ascii="Times New Roman" w:cs="Times New Roman" w:eastAsia="Times New Roman" w:hAnsi="Times New Roman"/>
          <w:sz w:val="18"/>
          <w:szCs w:val="18"/>
          <w:i w:val="1"/>
          <w:iCs w:val="1"/>
          <w:color w:val="auto"/>
        </w:rPr>
        <w:t>—Interest on the Notes</w:t>
      </w:r>
      <w:r>
        <w:rPr>
          <w:rFonts w:ascii="Times New Roman" w:cs="Times New Roman" w:eastAsia="Times New Roman" w:hAnsi="Times New Roman"/>
          <w:sz w:val="18"/>
          <w:szCs w:val="18"/>
          <w:color w:val="auto"/>
        </w:rPr>
        <w:t>” is duly provided or you otherwise establish an exemption.</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Payment of the proceeds from the disposition of a note effected by the U.S. office of a U.S. or non-U.S. broker will be subject to information reporting requirements and backup withholding unless you properly certify under penalties of perjury as to your non-U.S. status on IRS Form W-8BEN or IRS Form W-8BEN-E, as applicable (or other applicable form or successor form) and certain other conditions are met or you otherwise establish an exemption. Information reporting requirements and backup withholding generally will not apply to any payment of the proceeds from the disposition of a note effected outside the United States by a non-U.S. office of a broker. However, unless such a broker has documentary evidence in its records that you are not a United States person and certain other conditions are met, or you otherwise establish an exemption, information reporting will apply to a payment of the proceeds of the disposition of a note effected outside the United States by such a broker if it has certain relationships with the United States.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allowed as a credit against your U.S. federal income tax liability, if any, and a refund may be obtained from the IRS if the amounts withheld exceed your actual U.S. federal income tax liability and you timely provide the required information or appropriate claim form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on Payments to Certain Foreign Entities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(referred to as “FATCA”) impose a 30% U.S. federal withholding tax on “withholdable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payments” (as defined in the Code), including payments of interest on the notes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proposed U.S. Treasury regulations provide that such payments of gross proceeds (other than amounts treated as interest) do not constitute withholdable payments. Taxpayers may rely generally on these proposed U.S. Treasury regulations until they are revoked or final U.S. Treasury regulations are issued.</w:t>
      </w:r>
    </w:p>
    <w:p>
      <w:pPr>
        <w:spacing w:after="0" w:line="19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 You should consult your own tax advisor regarding the effects of FATCA on your investment in the notes.</w:t>
      </w:r>
    </w:p>
    <w:p>
      <w:pPr>
        <w:spacing w:after="0" w:line="172" w:lineRule="exact"/>
        <w:rPr>
          <w:sz w:val="20"/>
          <w:szCs w:val="20"/>
          <w:color w:val="auto"/>
        </w:rPr>
      </w:pPr>
    </w:p>
    <w:p>
      <w:pPr>
        <w:ind w:left="120"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INCOME TAX CONSEQUENCES IS FOR GENERAL INFORMATION ONLY AND IS NOT TAX ADVICE. YOU SHOULD CONSULT YOUR OWN TAX ADVISOR REGARDING THE PARTICULAR U.S. FEDERAL, STATE, LOCAL AND NON-U.S. TAX CONSEQUENCES OF ACQUIRING, OWNING AND DISPOSING OF THE NOTES, INCLUDING THE CONSEQUENCES OF ANY PROPOSED CHANGE IN APPLICABLE LAWS.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BofA Securities, Inc., MUFG Securities Americas Inc., RBC Capital Markets, LLC and Wells Fargo Securities,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principal amount of notes set forth opposite its name below.</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6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5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5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60"/>
        </w:trPr>
        <w:tc>
          <w:tcPr>
            <w:tcW w:w="3900" w:type="dxa"/>
            <w:vAlign w:val="bottom"/>
            <w:gridSpan w:val="3"/>
            <w:vMerge w:val="continue"/>
          </w:tcPr>
          <w:p>
            <w:pPr>
              <w:spacing w:after="0"/>
              <w:rPr>
                <w:sz w:val="13"/>
                <w:szCs w:val="13"/>
                <w:color w:val="auto"/>
              </w:rPr>
            </w:pPr>
          </w:p>
        </w:tc>
        <w:tc>
          <w:tcPr>
            <w:tcW w:w="158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2035 Notes</w:t>
            </w:r>
          </w:p>
        </w:tc>
        <w:tc>
          <w:tcPr>
            <w:tcW w:w="560" w:type="dxa"/>
            <w:vAlign w:val="bottom"/>
          </w:tcPr>
          <w:p>
            <w:pPr>
              <w:spacing w:after="0"/>
              <w:rPr>
                <w:sz w:val="13"/>
                <w:szCs w:val="13"/>
                <w:color w:val="auto"/>
              </w:rPr>
            </w:pPr>
          </w:p>
        </w:tc>
        <w:tc>
          <w:tcPr>
            <w:tcW w:w="7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2055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5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(as defined below), or to contribute to payments the underwriters may be required to make in respect of those liabilities.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notes to the public at the public offering price set forth on the cover page of this prospectus supplement and to certain dealers at such price less a concession not in excess of        % of the principal amount of the 2035 notes or        % of the principal amount of the 2055 notes. The underwriters may allow, and dealers may re-allow, a concession not in excess of        % of the principal amount of the 2035 notes and        % of the principal amount of the 2055 notes, in each case, to other dealers. After the initial offering, the public offering price, concession or any other term of the offering may be changed.</w:t>
      </w:r>
    </w:p>
    <w:p>
      <w:pPr>
        <w:sectPr>
          <w:pgSz w:w="11900" w:h="16838" w:orient="portrait"/>
          <w:cols w:equalWidth="0" w:num="1">
            <w:col w:w="11120"/>
          </w:cols>
          <w:pgMar w:left="320" w:top="455" w:right="459" w:bottom="1440" w:gutter="0" w:footer="0" w:header="0"/>
        </w:sectPr>
      </w:pP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expenses of the offering, not including the underwriting discount, are estimated at approximately $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payable by us.</w:t>
      </w:r>
    </w:p>
    <w:p>
      <w:pPr>
        <w:spacing w:after="0" w:line="158" w:lineRule="exact"/>
        <w:rPr>
          <w:sz w:val="20"/>
          <w:szCs w:val="20"/>
          <w:color w:val="auto"/>
        </w:rPr>
      </w:pPr>
    </w:p>
    <w:p>
      <w:pPr>
        <w:sectPr>
          <w:pgSz w:w="11900" w:h="16838" w:orient="portrait"/>
          <w:cols w:equalWidth="0" w:num="4">
            <w:col w:w="8040" w:space="120"/>
            <w:col w:w="60" w:space="120"/>
            <w:col w:w="60" w:space="120"/>
            <w:col w:w="260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S-26</w:t>
      </w:r>
    </w:p>
    <w:p>
      <w:pPr>
        <w:sectPr>
          <w:pgSz w:w="11900" w:h="16838" w:orient="portrait"/>
          <w:cols w:equalWidth="0" w:num="1">
            <w:col w:w="11120"/>
          </w:cols>
          <w:pgMar w:left="320" w:top="455"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of each series are a new issue of securities with no established trading market. We do not intend to apply for listing of the notes on any national securities exchange or for inclusion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on the cover page of this prospectus supplement, which will be the 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prior to the business day before the settlement date will be required, by virtue of the fact that the notes initially will settle in T+  , to specify alternative settlement arrangements to prevent a failed settlement.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purchases on the open market to cover positions created by short sales and stabilizing transactions. Short sales involve the sale by the underwriters of a greater number of notes than they are required to purchase in the offering. Stabilizing transactions consist of various bids for or purchases of notes made by the underwriters in the open market prior to the completion of the offering.</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another underwriter a portion of the underwriting discount received by it because such other underwriter has repurchased notes sold by or for the account of such underwriter in stabilizing or short covering transactions.</w:t>
      </w:r>
    </w:p>
    <w:p>
      <w:pPr>
        <w:spacing w:after="0" w:line="176"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These transactions may be effected in the over-the-counter market or otherwise.</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Certain of the underwriters or their affiliates are lenders under our revolving credit facility, are dealers under the Commercial Paper Program and may be holders of our senior notes. Accordingly, such underwriters or affiliates may receive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portion of any net proceeds from this offering used to repay borrowings under our revolving credit facility and/or the Commercial Paper Program. Moreover, we have entered into derivative financial transactions with affiliates of certain of the underwriters. For a description of these transactions, see “</w:t>
      </w:r>
      <w:r>
        <w:rPr>
          <w:rFonts w:ascii="Times New Roman" w:cs="Times New Roman" w:eastAsia="Times New Roman" w:hAnsi="Times New Roman"/>
          <w:sz w:val="18"/>
          <w:szCs w:val="18"/>
          <w:i w:val="1"/>
          <w:iCs w:val="1"/>
          <w:color w:val="auto"/>
        </w:rPr>
        <w:t>Quantitative and Qualitative Disclosures About Market Risk—Commodity Price Risk</w:t>
      </w:r>
      <w:r>
        <w:rPr>
          <w:rFonts w:ascii="Times New Roman" w:cs="Times New Roman" w:eastAsia="Times New Roman" w:hAnsi="Times New Roman"/>
          <w:sz w:val="18"/>
          <w:szCs w:val="18"/>
          <w:color w:val="auto"/>
        </w:rPr>
        <w:t>” in our Annual Report on Form 10-K for the year ended December 31, 2024. We have entered into these derivative financial transactions on terms we believe to be customary in connection with these transactions.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underwriters or their affiliates have a lending relationship with us, certain of the underwriters or their affiliates routinely hedge, certain other of the underwriters or their affiliates are likely to hedge and certain other of the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Certain of the underwriters and/or their affiliates are lenders under our revolving credit facility and/or are dealers under the Commercial Paper Program. Because certain of the underwriters and/or their affiliates are expected to receive at least 5% of the net proceeds of this offering, such underwriters and/or their affiliates could be deemed to have a “conflict of interest” under Rule 5121.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Accordingly, this offering is being made in compliance with the requirements of Rule 5121. The appointment of a “qualified independent underwriter” is not required in connection with this offering because the notes are “investment grade rated” as defined in paragraph (f)(8) of Rule 5121. Such underwriters and/or their affiliates will not confirm sales of the notes offered hereby to any account over which it exercises discretionary authority without the prior written approval of the customer. Such underwriters and/or their affiliates will retain documentation of such approval in its records.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w:t>
      </w:r>
    </w:p>
    <w:p>
      <w:pPr>
        <w:spacing w:after="0" w:line="2"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the accompanying prospectus are not a prospectus for the purposes of the Prospectus Regulation.</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w:t>
      </w:r>
    </w:p>
    <w:p>
      <w:pPr>
        <w:spacing w:after="0" w:line="187"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reviewed, approved or licensed by the Central Bank of the United Arab Emirates (the “UAE”), the Emirates Securities and Commodities Authority (the “SCA”) or any other relevant licensing authority in the UAE including any licensing authority incorporated under the laws and regulations of any of the free zones established and operating in the UAE including, without limitation, the Dubai Financial Services Authority (the “DFSA”), a regulatory authority of the Dubai International Financial Centre (the “DIFC”).</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and do not, constitute an offer, sale or delivery of notes or other securities under the laws of the UAE. Each underwriter has represented and agreed that the notes have not been and will not be registered with the SCA or the UAE Central Bank, the Dubai Financial Market, the Abu Dhabi Securities Market or any other UAE regulatory authority or exchange. The issue and/or sale of the notes has not been approved or licensed by the SCA, the UAE Central Bank or any other relevant licensing authority in the UAE, and does not constitute a public offer of securities in the UAE in accordance with the Commercial Companies Law, Federal Law No. 1 of 2015 (as amended) or otherwise, does not constitute an offer in the UAE in accordance with the Board Decision No. 37 of 2012 Concerning the Regulation of Investment Funds (whether by a Foreign Fund, as defined therein, or otherwise), and further does not constitute the brokerage of securities in the UAE in accordance with the Board Decision No. 27 of 2014 Concerning Brokerage in Securities.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Bermuda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notes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312" w:lineRule="auto"/>
        <w:rPr>
          <w:sz w:val="20"/>
          <w:szCs w:val="20"/>
          <w:color w:val="auto"/>
        </w:rPr>
      </w:pPr>
      <w:r>
        <w:rPr>
          <w:rFonts w:ascii="Times New Roman" w:cs="Times New Roman" w:eastAsia="Times New Roman" w:hAnsi="Times New Roman"/>
          <w:sz w:val="17"/>
          <w:szCs w:val="17"/>
          <w:color w:val="auto"/>
        </w:rPr>
        <w:t>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offered or sold in Hong Kong by means of any document other than (i) to “professional investors” as defined in the Securities and Futures Ordinance (Cap. 571 of the Laws of Hong Kong) (the “SFO”) and any rules made thereunder, or (ii) in other circumstances which do not constitute an offer to the public within the meaning of the Companies (Winding Up and Miscellaneous Provisions) Ordinance (Cap. 32 of the Laws of Hong Kong) (the “C(WUMP)O”) or which do not result in the document being a “prospectus” within the meaning of the C(WUMP)O. No advertisement, invitation or document relating to the notes has been or will be issued or has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notes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Singapore Securities and Futures Act Product Classification—Solely for the purposes of the issuer’s obligations pursuant to Sections 309B(1)(a) and 309B(1)(c) of the SFA, the issuer has determined, and hereby notifies all relevant persons (as defined in Section 309A of the SFA) that the securities are a “prescribed capital markets product” (as defined in the Securities and Futures (Capital Markets Products) Regulations 2018) and an Excluded Investment Product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Act of Japan (Act No. 25 of 1948, as amended) (the “Financial Instruments and Exchange Act”) and each underwriter has represented and agreed that it has not offered or sold and will not offer or sell any notes, directly or indirectly, in Japan or to, or for the benefit of, any resident of Japan (as defined under Item 5, Paragraph 1, Article 6 of the Foreign Exchange and Foreign Trade Act (Act No. 228 of 1949, as amended)), or to others for re-offering or resale, directly or indirectly, in Japan or to, or for the benefit of, a resident of Japan, except in each case (i) pursuant to an exemption from the registration requirements of, and otherwise in compliance with,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Financial Instruments and Exchange Act and (ii) in compliance with any other applicable laws, regulations and ministerial guidelines of Japan in effect at the relevant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requires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for purchase outside Taiwan by investors residing in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80"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notes must observe such Australian on-sale restrictions.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Abu Dhabi Global Market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for distribution only to persons who (a) are outside the Abu Dhabi Global Market, or (b) are Authorised Persons or Recognised Bodies (as such terms are defined in the Financial Services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and Markets Regulations 2015 (“FSMR”)), or (c) are persons to whom an invitation or inducement to engage in investment activity (within the meaning of section 18 of FSMR)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This document relates to an “Exempt Offer” within the meaning of section 61(3)(a) of the FSMR and Rule 4.3.1 of the Market Rules of the Financial Services Regulatory Authority or otherwise in circumstances which do not require the publication of an “Approved Prospectus” (as defined in section 61(2) of the FSMR).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notes have not been listed on any securities exchanges in the world including, without limitation, the Korea Exchange in Korea. Furthermore, the purchaser of the notes shall comply with all applicable regulatory requirements (including, but not limited to, requirements under the FETL) in connection with the purchase of the notes. By the purchase of the notes, the relevant holder thereof will be deemed to represent and warrant that if it is in Korea or is a resident of Korea, it purchased the notes pursuant to the applicable laws and regulations of Korea.</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Luxembourg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approved by and will not be submitted for approval to the Luxembourg Financial Sector Authority (Commission de Surveillance du Secteur Financier) (the “CSSF”), or a competent authority of another Member State of the EEA for notification to the CSSF, for purposes of public offering or sale in Luxembourg. 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Italy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offering of the notes has not been registered with the Italian Securities and Exchange Commission (Commissione Nazionale per le Società e la Borsa, the “CONSOB”) pursuant to Italian securities legislation and, accordingly, no notes may be offered, sold or delivered, nor may copies of this prospectus supplement, the accompanying prospectus, or any other document relating to the notes be distributed in the Republic of Italy (“Italy”), except: (i) to qualified investors (investitori qualificati), pursuant to Article 100 of Legislative Decree no. 58 of February 24, 1998 (the “Consolidated Financial Services Act”) and Article 34-ter, paragraph 1, letter (b) of CONSOB regulation No. 11971 of May 14, 1999 (the “CONSOB Regulation”), all as amended; or (ii) in any other circumstances where an express exemption from compliance with the restrictions on offers to the public applies, as provided under Article 100 of the Consolidated Financial Services Act and Article 34-ter of the CONSOB Regulation. Moreover, and subject to the foregoing, any offer, sale or delivery of the notes or distribution of copies of this prospectus supplement, the accompanying prospectus, or any other document relating to the notes in Italy under (i) or (ii) above must be: (i) made by an investment firm, bank or financial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intermediary permitted to conduct such activities in Italy in accordance with the Consolidated Financial Services Act, Legislative Decree No. 385 of September 1, 1993 (the “Banking Act”), CONSOB Regulation No. 20307 of February 15, 2018, all as amended; (ii) in compliance with Article 129 of the Banking Act, as amended from time to time, and the implementing guidelines of the Bank of Italy, as amended from time to time, pursuant to which the Bank of Italy may request information on the offering or issue of securities in Italy; and (iii) in compliance with any securities, tax, exchange control and any other applicable laws and regulations, including any limitation or requirement which may be imposed from time to time, inter alia, by CONSOB or the Bank of Italy. Any investor purchasing the notes in the offering is solely responsible for ensuring that any offer or resale of the notes it purchased in the offering occurs in compliance with applicable Italian laws and regulations.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Ireland</w:t>
      </w:r>
    </w:p>
    <w:p>
      <w:pPr>
        <w:spacing w:after="0" w:line="121" w:lineRule="exact"/>
        <w:rPr>
          <w:sz w:val="20"/>
          <w:szCs w:val="20"/>
          <w:color w:val="auto"/>
        </w:rPr>
      </w:pPr>
    </w:p>
    <w:p>
      <w:pPr>
        <w:ind w:left="120" w:right="280" w:firstLine="440"/>
        <w:spacing w:after="0" w:line="254" w:lineRule="auto"/>
        <w:rPr>
          <w:sz w:val="20"/>
          <w:szCs w:val="20"/>
          <w:color w:val="auto"/>
        </w:rPr>
      </w:pPr>
      <w:r>
        <w:rPr>
          <w:rFonts w:ascii="Times New Roman" w:cs="Times New Roman" w:eastAsia="Times New Roman" w:hAnsi="Times New Roman"/>
          <w:sz w:val="18"/>
          <w:szCs w:val="18"/>
          <w:color w:val="auto"/>
        </w:rPr>
        <w:t>No action may be taken with respect to the notes in or involving Ireland otherwise than in conformity with the provisions of (a) the European Union (Markets in Financial Instruments) Regulations 2017 (S.I. No. 375 of 2017) (as amended) of Ireland (the “MiFID Regulations”), including, without limitation, Regulation 5 (Regulation for authorisation (and certain provisions concerning MTFs and OTFs)) thereof, or any corresponding provision of any replacement legislation, or any codes of conduct used in connection therewith and the provisions of the Investor Compensation Act 1998 of Ireland, (b) the Companies Act 2014 of Ireland (as amended, the “Companies Act”), the Central Bank Acts 1942 to 2018 of Ireland (as amended) and any codes of conduct rules made under Section 117(1) of the Central Bank Act 1989 of Ireland (as amended), (c) the Prospectus Regulation and any rules or guidance issued under Section 1363 of the Companies Act by the Central Bank of Ireland, and (d) the Market Abuse Regulation (EU 596/2014) (as amended), the European Union (Market Abuse) Regulations 2016 (as amended) of Ireland and any rules and guidance issued by the Central Bank of Ireland under Section 1370 of the Companies Act.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6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restraint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L.411-2-II-1o-or-2o-or 3o of the French Code monétaire et financier and article 211-2 of the General Regulations (Règlement Général) of the Autorité des Marchés Financiers, does not constitute a public offer (appel public à l’épargne).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Germany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000"/>
          </w:cols>
          <w:pgMar w:left="320" w:top="455" w:right="5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legality of the notes being offered hereby will be passed upon for us by Vinson &amp; Elkins L.L.P., Houston, Texas. Certain legal matters with respect to the legality of the notes being offered hereby will be passed upon for the underwriters by Gibson, Dunn &amp; Crutcher LLP, Dallas, Texas.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file periodic reports, current reports, proxy statements and other information with the SEC. Our SEC filings are available on the SEC’s website at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make available free of charge on our website, at http://</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supplement and the accompanying base prospectus, which means that we disclose important information to you by referring you to another document filed separately with the SEC. The information incorporated by reference is deemed to be part of this prospectus supplement and the accompanying base prospectus, except for any information superseded by information contained expressly in this prospectus supplement or the accompanying base prospectus, and the information we file later with the SEC will automatically supersede this information. You should not assume that (i) the information incorporated by reference in this prospectus supplement and the accompanying base prospectus is accurate as of any date other than the respective date of the documents incorporated by reference or (ii) the information contained in this prospectus supplement and the accompanying base prospectus is accurate as of any date other that the date on the front page of this prospectus supplement or the accompanying base prospectus, as applicable.</w:t>
      </w:r>
    </w:p>
    <w:p>
      <w:pPr>
        <w:spacing w:after="0" w:line="19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incorporate by reference in this prospectus supplement the documents listed below and any future filings made by Targa Resources Corp. with the SEC under Section 13(a), 13(c), 14 or 15(d) of the Exchange Act (excluding any information furnished and not filed pursuant to 2.02 or 7.01 on any Current Report on Form 8-K), including all such documents we may file with the SEC from the date of this prospectus supplement until the termination of each offering under this prospectus supplement:</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54">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20, 2025.</w:t>
      </w:r>
    </w:p>
    <w:p>
      <w:pPr>
        <w:spacing w:after="0" w:line="225" w:lineRule="exact"/>
        <w:rPr>
          <w:rFonts w:ascii="Times New Roman" w:cs="Times New Roman" w:eastAsia="Times New Roman" w:hAnsi="Times New Roman"/>
          <w:sz w:val="18"/>
          <w:szCs w:val="18"/>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You can obtain copies of any of these documents, and any exhibit specifically incorporated by reference in those documents, without charge upon written or oral request by requesting them in writing or by telephone at:</w:t>
      </w:r>
    </w:p>
    <w:p>
      <w:pPr>
        <w:spacing w:after="0" w:line="16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811 Louisiana St., Suite 2100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(713) 584-1000</w:t>
      </w:r>
    </w:p>
    <w:p>
      <w:pPr>
        <w:spacing w:after="0" w:line="205" w:lineRule="exact"/>
        <w:rPr>
          <w:rFonts w:ascii="Times New Roman" w:cs="Times New Roman" w:eastAsia="Times New Roman" w:hAnsi="Times New Roman"/>
          <w:sz w:val="18"/>
          <w:szCs w:val="18"/>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However, the information on our website is not part of this prospectus supplement or the accompanying base prospectus and is not incorporated by reference into this prospectus supplement or the accompanying base prospectus, and you should rely only on information contained or incorporated by reference in this prospectus supplement and the accompanying base prospectus when making a decision as to whether or not to invest in the notes.</w:t>
      </w:r>
    </w:p>
    <w:p>
      <w:pPr>
        <w:spacing w:after="0" w:line="11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Some of the information included in this prospectus supplement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supplement, as well as the following risks and uncertainties:</w:t>
      </w:r>
    </w:p>
    <w:p>
      <w:pPr>
        <w:spacing w:after="0" w:line="78" w:lineRule="exact"/>
        <w:rPr>
          <w:sz w:val="20"/>
          <w:szCs w:val="20"/>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Badlands Transaction, including the risk that the Badlands Transaction is not consummated on the terms expected or on the anticipated schedule, or at all;</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 our success in connecting natural gas supplies to our gathering and processing systems, oil supplies to our gathering systems and natural gas liquid supplies to our logistics and transportation facilities and our success in connecting our facilities to transportation services and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other countries with significant hydrocarbon production;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business development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consolidations, changes in competition and addition of alternative forms of energy for oil, gas and NGLs;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downside commodity price volatility from a variety of potential factors that can result in lower activity in our areas of operation;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significant public health crises and their impact on demand for oil, gas and NGLs;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which will depend on general market conditions, including the impact of interest rates, associated Federal Reserve policies, the economy, our credit ratings and leverage levels, and demand for our common equity, senior notes and commercial paper;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collateral required to be posted from time to time in our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counterparties to various transactions with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in the bank and capital markets, and our ability to obtain capital or financing on favorable terms, or at all;</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tariffs and international trade, safety and the protection of the environment;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elsewhere in this prospectus supplement and in the documents incorporated by reference herein.</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herein,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Should one or more of the risks or uncertainties described in this prospectus supplement or the documents incorporated by reference herein occur, or should underlying assumptions prove incorrect, our actual results and plans could differ materially from those expressed in any forward-looking statements.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supplement and all subsequent written and oral forward-looking statements attributable to us or persons acting on our behalf are expressly qualified in their entirety by this cautionary statement.</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by the statements in this section, to reflect events or circumstances after the date of this prospectus supplement.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173990</wp:posOffset>
            </wp:positionV>
            <wp:extent cx="2040255" cy="574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04025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offer and sell the securities listed above from time to time in one or more offerings. Any debt securities we offer pursuant to this prospectus may be fully and unconditionally guaranteed by certain of our subsidiaries.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securities are offered, we will provide a prospectus supplement and attach it to this prospectus. The prospectus supplement will contain more specific information about the offering and the terms of the securities being offered. A prospectus supplement may also add, update or change information contained in this prospectus. This prospectus may not be used to offer or sell securities without a prospectus supplement describing the method and terms of the offering.</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and sell these securities directly or through agents, underwriters or dealers, or through a combination of these methods, on a continuous or delayed basis. See “Plan of Distribution.” The prospectus supplement will list any agents, underwriters or dealers that may be involved and the compensation they will receive. The prospectus supplement will also show you the total amount of money that we will receive from selling the securities being offered, after the expenses of the offering. You should carefully read this prospectus and any accompanying prospectus supplement, together with the documents we incorporate by reference,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left="120" w:right="40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any of our securities involves risks. Please read carefully the information included and incorporated by reference in this prospectus and in any applicable prospectus supplement for a discussion of the factors you should consider before deciding to purchase our securities.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6 of this 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(the “NYSE”) under the symbol “TRGP.”</w:t>
      </w:r>
    </w:p>
    <w:p>
      <w:pPr>
        <w:spacing w:after="0" w:line="22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This prospectus is dated March 21, 2022.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TARGA RESOURCES CORP.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ABOUT FORWARD-LOOKING STATEMENTS</w:t>
            </w:r>
          </w:p>
        </w:tc>
        <w:tc>
          <w:tcPr>
            <w:tcW w:w="47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90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90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3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You should rely only on the information contained or incorporated by reference in this prospectus or any prospectus supplement. We have not authorized anyone to provide you with additional or different information, and we take no responsibility for, and can provide no assurance as to the reliability of, any other information that others may give you. If anyone provides you with different or inconsistent information, you should not rely on it.</w:t>
      </w:r>
    </w:p>
    <w:p>
      <w:pPr>
        <w:spacing w:after="0" w:line="154"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color w:val="auto"/>
        </w:rPr>
        <w:t>This prospectus is not an offer to sell or the solicitation of an offer to buy any securities other than the securities to which they relate and is not an offer to sell or the solicitation of an offer to buy securities in any jurisdiction to any person to whom it is unlawful to make an offer or solicitation in that jurisdiction. You should not assume that the information contained in this prospectus or any prospectus supplement is accurate as of any date other than the date on the front cover of those documents. You should not assume that the information contained in the documents incorporated by reference in this prospectus or any prospectus supplement is accurate as of any date other than the respective dates of those documents. Our business, financial condition, results of operations and prospects may have changed since those dates.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using a “shelf” registration process. Under this shelf registration process, we may, from time to time, offer and sell any combination of the securities described in this prospectus in one or more offerings. This prospectus provides you with a general description of the securities we may offer. Each time we sell securities, we will provide you with this prospectus and a prospectus supplement that will contain specific information about the terms of the offering and the offered securities. That prospectus supplement may also add, update or change information contained in this prospectus. Any statement that we make in this prospectus will be modified or superseded by any inconsistent statement made by us in a prospectus supplement.</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Additional information, including our consolidated financial statements and the notes thereto, is incorporated in this prospectus by reference to our reports filed with the SEC. Please read “Where You Can Find More Information” below. You are urged to read this prospectus carefully, including “Risk Factors,” and the documents incorporated by reference in their entirety before investing in our securities.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or unless otherwise noted, all references in this prospectus or any accompanying prospectus supplement to “TRC” and to the “Company,” “Targa,” “we” or “us” are to Targa Resources Corp. and its subsidiaries.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TARGA RESOURCES CORP.</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Targa Resources Corp. (NYSE: TRGP) is a publicly traded Delaware corporation formed in October 2005. Targa is a leading provider of midstream services and is one of the largest independent midstream infrastructure companies in North America. We own, operate, acquire, and develop a diversified portfolio of complementary domestic midstream infrastructure assets. The Company is primarily engaged in the business of: (i) gathering, compressing, treating, processing, transporting and purchasing and selling natural gas; (ii) transporting, storing, fractionating, treating and purchasing and selling natural gas liquids (“NGL(s)”) and NGL products, including services to liquified petroleum gas exporters; and (iii) gathering, storing, terminaling and purchasing and selling crude oil. Our principal executive offices are located at 811 Louisiana St., Suite 2100, Houston, Texas 77002, and our telephone number at that location is (713) 584-1000. Our common stock is listed on the New York Stock Exchange (“NYSE”) under the symbol “TRGP.”</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We file periodic reports, current reports, proxy statements and other information with the SEC. Our SEC filings are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make available free of charge on our website, at</w:t>
      </w:r>
      <w:r>
        <w:rPr>
          <w:rFonts w:ascii="Times New Roman" w:cs="Times New Roman" w:eastAsia="Times New Roman" w:hAnsi="Times New Roman"/>
          <w:sz w:val="18"/>
          <w:szCs w:val="18"/>
          <w:i w:val="1"/>
          <w:iCs w:val="1"/>
          <w:color w:val="auto"/>
        </w:rPr>
        <w:t xml:space="preserve"> http://www.targaresources.com </w:t>
      </w:r>
      <w:r>
        <w:rPr>
          <w:rFonts w:ascii="Times New Roman" w:cs="Times New Roman" w:eastAsia="Times New Roman" w:hAnsi="Times New Roman"/>
          <w:sz w:val="18"/>
          <w:szCs w:val="18"/>
          <w:color w:val="auto"/>
        </w:rPr>
        <w:t>all materials that we file electronically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including our annual report on Form 10-K, quarterly reports on Form 10-Q, current reports on Form 8-K, Section 16 reports and amendments to these reports as soon as reasonably practicable after such materials are electronically filed with, or furnished to, the SEC. You can also obtain information about us at the office of the NYSE, 20 Broad Street, New York, New York 10005.</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and the information we file later with the SEC will automatically supersede this information. You should not assume that (i) the information incorporated by reference in this prospectus is accurate as of any date other than the respective date of the documents incorporated by reference or (ii) the information contained in this prospectus is accurate as of any date other that the date on the front page of this prospectus.</w:t>
      </w:r>
    </w:p>
    <w:p>
      <w:pPr>
        <w:spacing w:after="0" w:line="187"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and any future filings made by Targa Resources Corp. with the SEC under Section 13(a), 13(c), 14 or 15(d) of the Securities Exchange Act of 1934, as amended (the “Exchange Act”) (excluding any information furnished and not filed pursuant to 2.02 or 7.01 on any current report on Form 8-K), including all such documents we may file with the SEC from the date of this prospectus until the termination of each offering under this prospectus:</w:t>
      </w:r>
    </w:p>
    <w:p>
      <w:pPr>
        <w:spacing w:after="0" w:line="85"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Forms 8-K filed on </w:t>
      </w:r>
      <w:hyperlink r:id="rId66">
        <w:r>
          <w:rPr>
            <w:rFonts w:ascii="Times New Roman" w:cs="Times New Roman" w:eastAsia="Times New Roman" w:hAnsi="Times New Roman"/>
            <w:sz w:val="18"/>
            <w:szCs w:val="18"/>
            <w:u w:val="single" w:color="auto"/>
            <w:color w:val="0000EE"/>
          </w:rPr>
          <w:t>February 23,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7">
        <w:r>
          <w:rPr>
            <w:rFonts w:ascii="Times New Roman" w:cs="Times New Roman" w:eastAsia="Times New Roman" w:hAnsi="Times New Roman"/>
            <w:sz w:val="18"/>
            <w:szCs w:val="18"/>
            <w:u w:val="single" w:color="auto"/>
            <w:color w:val="0000EE"/>
          </w:rPr>
          <w:t>March 9,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included in our </w:t>
      </w:r>
      <w:hyperlink r:id="rId6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001-34991), filed on December 2, 2010 and </w:t>
      </w:r>
      <w:hyperlink r:id="rId69">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2019, including any amendment or report filed for the purpose of updating, changing or otherwise modifying such description.</w:t>
      </w:r>
    </w:p>
    <w:p>
      <w:pPr>
        <w:spacing w:after="0" w:line="176" w:lineRule="exact"/>
        <w:rPr>
          <w:rFonts w:ascii="Times New Roman" w:cs="Times New Roman" w:eastAsia="Times New Roman" w:hAnsi="Times New Roman"/>
          <w:sz w:val="18"/>
          <w:szCs w:val="18"/>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You can obtain copies of any of these documents, and any exhibit specifically incorporated by reference in those documents, without charge upon written or oral request by requesting them in writing or by telephone at:</w:t>
      </w:r>
    </w:p>
    <w:p>
      <w:pPr>
        <w:spacing w:after="0" w:line="16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Targa Resources Corp.</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811 Louisiana St., Suite 2100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Telephone: (713) 584-1000</w:t>
      </w:r>
    </w:p>
    <w:p>
      <w:pPr>
        <w:spacing w:after="0" w:line="205" w:lineRule="exact"/>
        <w:rPr>
          <w:rFonts w:ascii="Times New Roman" w:cs="Times New Roman" w:eastAsia="Times New Roman" w:hAnsi="Times New Roman"/>
          <w:sz w:val="18"/>
          <w:szCs w:val="18"/>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www.targaresources.com</w:t>
      </w:r>
      <w:r>
        <w:rPr>
          <w:rFonts w:ascii="Times New Roman" w:cs="Times New Roman" w:eastAsia="Times New Roman" w:hAnsi="Times New Roman"/>
          <w:sz w:val="18"/>
          <w:szCs w:val="18"/>
          <w:color w:val="auto"/>
        </w:rPr>
        <w:t>. However, the information on our website is not part of this prospectus and is not incorporated by reference into this prospectus, and you should rely only on information contained or incorporated by reference in this prospectus when making a decision as to whether or not to invest in our securities.</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Some of the information included in this prospectus contains our reports, filings and other public announcements, which may from time to time contain statements that do not directly or exclusively relate to historical facts. Such statements are “forward-looking statements.” You can typically identify forward-looking statements within the meaning of Section 27A of the Securities Act of 1933, as amended (the “Securities Act”), and Section 21E of the Exchange Act by the use of forward-looking statements, such as “may,” “could,” “project,” “believe,” “anticipate,” “expect,” “estimate,” “potential,” “plan,” “forecast” and other similar words.</w:t>
      </w:r>
    </w:p>
    <w:p>
      <w:pPr>
        <w:spacing w:after="0" w:line="183"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All statements that are not statements of historical facts, including statements regarding our future financial position, business strategy, budgets, projected costs and plans and objectives of management for future operations, are forward-looking statements.</w:t>
      </w:r>
    </w:p>
    <w:p>
      <w:pPr>
        <w:spacing w:after="0" w:line="162"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reflect our intentions, plans, expectations, assumptions and beliefs about future events and are subject to risks, uncertainties and other factors, many of which are outside our control. Important factors that could cause actual results to differ materially from the expectations expressed or implied in the forward-looking statements include known and unknown risks. Known risks and uncertainties include, but are not limited to, the risks set forth in “Risk Factors,” the risks set forth in “Item 1A. Risk Factors” in our most recent Annual Report on Form 10-K, any subsequently filed Quarterly Reports on Form 10-Q and any subsequently filed Current Reports on Form 8-K (other than, in each case, information furnished rather than filed), all of which are incorporated by reference in this prospectus, any risk factors included in any applicable prospectus supplement, as well as the following risks and uncertainties:</w:t>
      </w:r>
    </w:p>
    <w:p>
      <w:pPr>
        <w:spacing w:after="0" w:line="94" w:lineRule="exact"/>
        <w:rPr>
          <w:sz w:val="20"/>
          <w:szCs w:val="20"/>
          <w:color w:val="auto"/>
        </w:rPr>
      </w:pPr>
    </w:p>
    <w:p>
      <w:pPr>
        <w:ind w:left="1080" w:right="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success of crude oil and natural gas drilling around our assets, our success in connecting natural gas supplies to our gathering and processing systems, oil supplies to our gathering systems and natural gas liquid supplies to our logistics and transportation facilities and our success in connecting our facilities to transportation services and markets;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changes in natural gas, natural gas liquids, crude oil and other commodity prices, interest rates and demand for our services;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which will depend on general market conditions, the credit ratings for our debt obligations and the debt obligations of Targa Resources Partners LP (the “Partnership”), a Delaware limited partnership, and demand for our common equity and the Partnership’s senior notes;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outbreaks of illnesses, pandemics (like COVID-19) or any other public health crises;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collateral required to be posted from time to time in our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risk management activities, including the use of derivative instruments to hedge commodity price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creditworthiness of counterparties to various transactions with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particularly with regard to taxes, safety and protection of the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other natural phenomena, and related impacts;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including the impact of consolidations and changes in competition;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obtain and maintain necessary licenses, permits and other approvals;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internal growth capital projects or acquisitions and the successful integration and future performance of such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business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elsewhere in this prospectus and in the documents incorporated by reference herein.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You should read these forward-looking statements carefully because they discuss our expectations about our future performance, our future operating results or our future financial condition, or state other “forward-looking” information. Before you invest, you should be aware that the occurrence of any of the events described in “Risk Factors” or “Item 1A. Risk Factors” in our most recent Annual Report on Form 10-K, any subsequently filed Quarterly Reports on Form 10-Q, any subsequently filed Current Reports on Form 8-K (other than, in each case, information furnished rather than filed), all of which are incorporated by reference herein, and any risk factors included in any applicable prospectus supplement could substantially harm our business, results of operations and financial condition. In light of these risks, uncertainties and assumptions, the events described in the forward-looking statements might not occur or might occur to a different extent or at a different time than we have described.</w:t>
      </w:r>
    </w:p>
    <w:p>
      <w:pPr>
        <w:spacing w:after="0" w:line="18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Should one or more of the risks or uncertainties described in this prospectus or the documents incorporated by reference herein occur, or should underlying assumptions prove incorrect, our actual results and plans could differ materially from those expressed in any forward-looking statements.</w:t>
      </w:r>
    </w:p>
    <w:p>
      <w:pPr>
        <w:spacing w:after="0" w:line="140"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all subsequent written and oral forward-looking statements attributable to us or persons acting on our behalf are expressly qualified in their entirety by this cautionary statement.</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Except as otherwise required by applicable law, we disclaim any duty to update any forward-looking statements, all of which are expressly qualified by the statements in this section, to reflect events or circumstances after the date of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(other than, in each case, information furnished rather than filed), all of which are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 risks discussed in the foregoing documents were to occur, our business, financial condition, results of operations and cash flows could be materially adversely affected. Additional risks not presently known to us or that we currently believe are immaterial may also significantly impair our business operations and financial condition. Please read “Cautionary Statement About Forward-Looking Statements” for additional information.</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Except as may otherwise be stated in any applicable prospectus supplement, we intend to use the net proceeds we receive from any sales of securities by us under this prospectus and any prospectus supplement for general corporate purposes, which may include, among other things, repayment of indebtedness, repurchases and redemptions of securities, the acquisition of businesses, other capital expenditures and additions to working capital.</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Any specific allocation of the net proceeds of an offering of securities to a specific purpose will be determined at the time of the offering and will be described in the applicable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Dividend Policy</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intend to continue to pay a quarterly dividend to our common stockholders; however, any payment of future dividends is dependent upon our financial condition, results of operations, cash flows, the level of our capital expenditures, future business prospects and any other matters that our board of directors, in consultation with management, deems relevant. Covenants contained in our debt agreements could limit the payment of dividends. In addition, so long as any of our Series A Preferred Stock is outstanding, certain limitations on our ability to declare dividends on our common stock exist. For a discussion of restrictions on our and our subsidiaries’ ability to pay dividends or make distributions, please see “Note 8—Debt Obligations” and “Note 11—Preferred Stock” in our Consolidated Financial Statements beginning on page F-1 in our Annual Report on Form 10-K for the year ended December 31, 2021, which has been incorporated herein by reference.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prospectus supplement. We will also indicate in the applicable prospectus supplement to what extent the general terms and provisions described in this prospectus apply to a particular series of debt securities.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Throughout this Description of Debt Securities, when we use the terms “Targa,” “we,” “us,” “our” or the “Company,” we are referring solely to Targa Resources Corp. and not to its subsidiaries.</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prospectus supplement, the debt securities will be our direct, unsecured obligations and may be issued in one or more series.</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as issuer and U.S. Bank Trust Company, National Association, as trustee. We have summarized select portions of the form of the indenture below. The summary is not complete. The form of the indenture has been filed as an exhibit to the registration statement of which this prospectus is a part and you should read the form of indenture for provisions that may be important to you. Please see “—Glossary” for a description of certain terms described in the summary below. Capitalized terms used and not defined herein have the meanings specified in the form of indenture.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or a committee thereof, and set forth or determined in the manner provided in a resolution of our board of directors, or a committee thereof, in an officer’s certificate or by a supplemental indenture. The particular terms of each series of debt securities will be described in a prospectus supplement relating to such series (including any pricing supplement or term sheet).</w:t>
      </w:r>
    </w:p>
    <w:p>
      <w:pPr>
        <w:spacing w:after="0" w:line="180"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the applicable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a foreign currency unit, or if the principal of and any premium and interest on any series of debt securities is payable in a foreign currency or a foreign currency unit, we will provide you with information on the restrictions, elections, general tax considerations, specific terms and other information with respect to that issue of debt securities and such foreign currency or foreign currency unit in the applicable prospectus supplement.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Subsidiary Guarantees</w:t>
      </w:r>
    </w:p>
    <w:p>
      <w:pPr>
        <w:spacing w:after="0" w:line="121" w:lineRule="exact"/>
        <w:rPr>
          <w:sz w:val="20"/>
          <w:szCs w:val="20"/>
          <w:color w:val="auto"/>
        </w:rPr>
      </w:pPr>
    </w:p>
    <w:p>
      <w:pPr>
        <w:ind w:left="120" w:right="120"/>
        <w:spacing w:after="0" w:line="274" w:lineRule="auto"/>
        <w:rPr>
          <w:sz w:val="20"/>
          <w:szCs w:val="20"/>
          <w:color w:val="auto"/>
        </w:rPr>
      </w:pPr>
      <w:r>
        <w:rPr>
          <w:rFonts w:ascii="Times New Roman" w:cs="Times New Roman" w:eastAsia="Times New Roman" w:hAnsi="Times New Roman"/>
          <w:sz w:val="17"/>
          <w:szCs w:val="17"/>
          <w:color w:val="auto"/>
        </w:rPr>
        <w:t>Our payment obligations under any series of debt securities may be jointly and severally, fully and unconditionally guaranteed by one or more of our subsidiaries pursuant to the terms of the indenture (each a “Subsidiary Guarantor”), but such subsidiary will be a Subsidiary Guarantor only so long as such subsidiary is a guarantor with respect to the debt securities on the terms provided for in the indenture. The applicable prospectus supplement will describe the terms of any guarantee by the Subsidiary Guarantors. If a series of debt securities is guaranteed by the Subsidiary Guarantors and is designated as subordinate to our Senior Indebtedness, then the guarantees by the Subsidiary Guarantors will be subordinated to the Senior Indebtedness of the Subsidiary Guarantors to substantially the same extent as the series is subordinated to our Senior Indebtedness. Please read “—Subordination.”</w:t>
      </w:r>
    </w:p>
    <w:p>
      <w:pPr>
        <w:spacing w:after="0" w:line="17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guarantee of any Subsidiary Guarantor may be released under certain circumstances. If we exercise our legal or covenant defeasance option with respect to a series of debt securities as under the applicable provisions in the indenture, then the guarantees of such debt securities by all Subsidiary Guarantors will be released. Further, except as provided in an applicable prospectus supplement, a Subsidiary Guarantor will be unconditionally released and discharged from its guarantee of all debt securities:</w:t>
      </w:r>
    </w:p>
    <w:p>
      <w:pPr>
        <w:spacing w:after="0" w:line="85" w:lineRule="exact"/>
        <w:rPr>
          <w:sz w:val="20"/>
          <w:szCs w:val="20"/>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any sale, exchange or transfer, whether by way of merger or otherwise, to any person that is not our affiliate, of all of our direct or indirect Capital Stock in the Subsidiary Guarantor;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merger of the Subsidiary Guarantor into us or any other Subsidiary Guarantor or the liquidation and dissolution of the Subsidiary Guarantor; or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a written notice by us to the trustee, upon the release of all guarantees of the Subsidiary Guarantor with respect to the obligations of us under the Credit Agreement.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at any time following any release of a Subsidiary Guarantor from its guarantee of such series of debt securities pursuant to the third bullet point in the preceding paragraph, the Subsidiary Guarantor again guarantees, becomes a co-obligor with respect to or otherwise provides direct credit support for any obligations of the us or any of our subsidiaries under the Credit Agreement, then we will cause the Subsidiary Guarantor to again guarantee such series of debt securities in accordance with the indenture.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applicable prospectus supplement, book-entry debt securities will not be issuable in certificated form.</w:t>
      </w:r>
    </w:p>
    <w:p>
      <w:pPr>
        <w:spacing w:after="0" w:line="183"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transfer tax or similar governmental charge payable in connection with a transfer or exchange.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Except as set forth below, neither we nor any of our subsidiaries are restricted by the indenture from incurring any type of indebtedness or other obligation, from paying dividends or making distributions on our or its respective equity interests or from purchasing or redeeming our or its respective equity interests. The indenture does not require the maintenance of any financial ratios or specified levels of net worth or liquidity. In addition, the indenture does not contain any provisions that would require us to repurchase or redeem or otherwise modify the terms of the debt securities upon a change in control or other events involving us that could adversely affect our creditworthiness.</w:t>
      </w:r>
    </w:p>
    <w:p>
      <w:pPr>
        <w:spacing w:after="0" w:line="179" w:lineRule="exact"/>
        <w:rPr>
          <w:sz w:val="20"/>
          <w:szCs w:val="20"/>
          <w:color w:val="auto"/>
        </w:rPr>
      </w:pPr>
    </w:p>
    <w:p>
      <w:pPr>
        <w:ind w:left="12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Limitations on Liens</w:t>
      </w:r>
      <w:r>
        <w:rPr>
          <w:rFonts w:ascii="Times New Roman" w:cs="Times New Roman" w:eastAsia="Times New Roman" w:hAnsi="Times New Roman"/>
          <w:sz w:val="18"/>
          <w:szCs w:val="18"/>
          <w:color w:val="auto"/>
        </w:rPr>
        <w:t>. We will not, nor will we permit any of our subsidiaries to, create, assume, incur or suffer to exist any mortgage, lien,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pledge, charge or other encumbrance (“liens”) upon any Principal Property or upon any Capital Stock of any Restricted Subsidiary, whether owned on the date of the issuance of any debt securities or thereafter acquired, to secure any Indebtedness of us or any other person (other than the debt securities issued under the indenture), without in any such case making effective provisions whereby all of the outstanding debt securities are secured equally and ratably with, or prior to, such Indebtedness so long as such Indebtedness is so secured.</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Notwithstanding the foregoing, under the indenture, we may, and may permit any of our subsidiaries to, create, assume, incur, or suffer to exist without securing the debt securities (a) any Permitted Lien, (b) any lien upon any Principal Property or Capital Stock of a Restricted Subsidiary to secure our Indebtedness or the Indebtedness of any other person, provided that the aggregate principal amount of all Indebtedness then outstanding secured by such lien and all similar liens under this clause (b) does not exceed 15% of Consolidated Net Tangible Assets, determined at the time of incurrence of such Indebtedness or (c) any lien upon (i) any Principal Property that was not owned by us or any of our subsidiaries on the date of the supplemental indenture creating the debt securities or (ii) Capital Stock of any Restricted Subsidiary that owns no Principal Property and was owned by us or any of our subsidiaries on the date of the supplemental indenture creating the debt securities (an “Excluded Subsidiary”) that (A) is not, and is not required to be, a Subsidiary Guarantor and (B) has not granted any liens on any of its property securing Indebtedness of us or any of our subsidiaries other than such Excluded Subsidiary or any other Excluded Subsidiary.</w:t>
      </w:r>
    </w:p>
    <w:p>
      <w:pPr>
        <w:spacing w:after="0" w:line="1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r>
        <w:rPr>
          <w:rFonts w:ascii="Times New Roman" w:cs="Times New Roman" w:eastAsia="Times New Roman" w:hAnsi="Times New Roman"/>
          <w:sz w:val="18"/>
          <w:szCs w:val="18"/>
          <w:color w:val="auto"/>
        </w:rPr>
        <w:t>. We shall not, in a transaction or series of transactions, consolidate with or merge into any person or sell,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convey, transfer or otherwise dispose of all or substantially all of our assets to any person unless:</w:t>
      </w:r>
    </w:p>
    <w:p>
      <w:pPr>
        <w:spacing w:after="0" w:line="64" w:lineRule="exact"/>
        <w:rPr>
          <w:sz w:val="20"/>
          <w:szCs w:val="20"/>
          <w:color w:val="auto"/>
        </w:rPr>
      </w:pPr>
    </w:p>
    <w:p>
      <w:pPr>
        <w:ind w:left="540" w:right="140" w:hanging="424"/>
        <w:spacing w:after="0" w:line="261"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resulting from any such consolidation or merger or to which such assets have been sold, leased, conveyed, transferred or otherwise disposed of (the “successor”) is us or expressly assumes by supplemental indenture the due and punctual payment of the principal of, premium (if any) and interest on all of the debt securities and the performance of our covenants and obligations under the indenture and the debt securities;</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is organized under the laws of the United States, any state thereof or the District of Columbia;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or series of transactions, no default or Event of Default has occurred and is continuing.</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successor will be substituted for us in the indenture with the same effect as if it had been an original party to the indenture. Thereafter, the successor may exercise our rights and powers under the indenture. If we convey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transfer all or substantially all of our assets, we will be released from all liabilities and obligations under the indenture and under the debt securities except that no such release will occur in the case of a lease of all or substantially all of our assets.</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Reporting Covenant</w:t>
      </w:r>
      <w:r>
        <w:rPr>
          <w:rFonts w:ascii="Times New Roman" w:cs="Times New Roman" w:eastAsia="Times New Roman" w:hAnsi="Times New Roman"/>
          <w:sz w:val="18"/>
          <w:szCs w:val="18"/>
          <w:color w:val="auto"/>
        </w:rPr>
        <w:t>. If we are subject to the requirements of Section 13 or 15(d) of the Exchange Act, we shall file with the trustee, within 15 days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file the same with the SEC, copies of the annual reports and the information, documents and other reports (or copies of such portions of any of the foregoing as the SEC may by rules and regulations prescribe) that we are required to file with the SEC pursuant to Section 13 or 15(d) of the Securities Exchange Act of 1934 (as amended, and any successor statute, the “Exchange Act”). If the indenture is qualified under the Trust Indenture Act (“TIA”), but not otherwise, we and our Subsidiary Guarantors shall also comply with the provisions of TIA Section 314(a). If the issuer is not subject to the requirements of Section 13 or 15(d) of the Exchange Act, the issuer shall file with the trustee, within 15 days after it would have been required to file with the SEC, financial statements (and with respect to annual reports, an auditor’s report by a firm of established national reputation) and a Management’s Discussion and Analysis of Financial Condition and Results of Operations, both comparable to what it would have been required to file with the SEC had it been subject to the requirements of Section 13 or 15(d) of the Exchange Act. Any reports, information or documents filed with the SEC pursuant to its Electronic Data Gathering, Analysis and Retrieval (EDGAR) (or any successor) system shall be deemed filed with the trustee as required pursuant to this covenant.</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Except as described above or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such default continues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upon redemption, upon required repurchase or otherwise;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or if the series of debt securities is guaranteed by any Subsidiary Guarantor, by such Subsidiary Guarantor,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or, if the series of debt securities is guaranteed by any Subsidiary Guarantor, of such Subsidiary Guarantor;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series of debt securities is guaranteed by any Subsidiary Guarantor: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subsidiary guarantees ceases to be in full force and effect, except as otherwise provided in the indenture;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subsidiary guarantees is declared null and void in a judicial proceeding;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Guarantor denies or disaffirms its obligations under the indenture or its guarantee;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of us,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have been cured or waived as provided in the indenture. We refer you to the applicable prospectus supplement relating to any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 to:</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covenants in the indenture described above under “—Certain Covenants—Merger, Consolidation or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bearer debt securities (with or without coupons);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any of the provisions of the indenture to permit or facilitate the defeasance and discharge of any series of debt securities; provided that the rights of the holders of the debt securities of such series or any other series are not adversely affected in any material respect;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eliminate any provisions of the indenture that are effective only when there is no outstanding debt security of any series created prior to the execution of such amendment or supplemental indenture that is adversely affected by such change in or elimination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coin or currency in which any debt security or any premium or interest with respect thereto is payable;</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and premium, if any, and interest on such holder’s debt securities or to institute suit for the enforcement of the payment of such amounts;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or the compliance of any Subsidiary Guarantor,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7" w:lineRule="exact"/>
        <w:rPr>
          <w:sz w:val="20"/>
          <w:szCs w:val="20"/>
          <w:color w:val="auto"/>
        </w:rPr>
      </w:pPr>
    </w:p>
    <w:p>
      <w:pPr>
        <w:ind w:left="120"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defease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released from any and all obligations in respect of the debt securities of any series (subject to certain exceptions). We will be so defeased upon the irrevocable deposit with the trustee, in trust, of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This defeasance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4" w:lineRule="exact"/>
        <w:rPr>
          <w:sz w:val="20"/>
          <w:szCs w:val="20"/>
          <w:color w:val="auto"/>
        </w:rPr>
      </w:pPr>
    </w:p>
    <w:p>
      <w:pPr>
        <w:ind w:left="1080" w:right="1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“—Certain Covenants—Merger, Consolidation or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2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United States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Satisfaction and Discharge</w:t>
      </w:r>
      <w:r>
        <w:rPr>
          <w:rFonts w:ascii="Times New Roman" w:cs="Times New Roman" w:eastAsia="Times New Roman" w:hAnsi="Times New Roman"/>
          <w:sz w:val="18"/>
          <w:szCs w:val="18"/>
          <w:color w:val="auto"/>
        </w:rPr>
        <w:t>. The indenture provides that, if at any time we shall have delivered to the trustee for cancellation all debt securities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theretofore authenticated and delivered (other than any debt securities of such series that shall have been destroyed, lost or stolen and which shall have been replaced or paid as provided in the indenture and debt securities for whose payment money has theretofore been deposited in trust and thereafter repaid to us as provided in the indenture) or all debt securities of such series not theretofore delivered to the trustee for cancellation shall have become due and payable, or are by their terms to become due and payable at their stated maturity within one year or are to be called for redemption within one year under arrangements satisfactory to the trustee for the giving of notice of redemption, and we shall deposit with the trustee as trust funds the entire amount in the currency in which such debt securities are denominated (except as otherwise provided pursuant to the indenture) sufficient to pay at stated maturity or upon redemption all debt securities of such series not theretofore delivered to the trustee for cancellation, including principal and premium,</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any, and interest due or to become due on such date of stated maturity or redemption date, as the case may be, and if in either case we shall also pay or cause to be paid all other sums then due and payable hereunder by us with respect to the debt securities of such series, then the indenture shall cease to be of further effect with respect to the debt securities of such series, and the trustee, on our demand accompanied by an officer’s certificate and opinion of counsel and at our cost and expense, shall execute proper instruments acknowledging satisfaction of and discharging the indenture with respect to the debt securities of such series.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Debt securities of a series may be subordinated to our “Senior Indebtedness,” which we define generally to include any obligation created or assumed by us for the repayment of borrowed money and any guarantee thereof, whether outstanding or hereafter issued, unless, by the terms of the instrument creating or evidencing such obligation, it is provided that such obligation is subordinate or not superior in right of payment to the debt securities or to other obligations that are pari passu with, or subordinated to, the debt securities. Subordinated debt securities and the related guarantees will be subordinate in right of payment, to the extent and in the manner set forth in the indenture and the applicable prospectus supplement relating to such series, to the prior payment of all of our indebtedness and that of, if applicable, any Subsidiary Guarantor that is designated as “Senior Indebtedness” with respect to the series.</w:t>
      </w:r>
    </w:p>
    <w:p>
      <w:pPr>
        <w:spacing w:after="0" w:line="18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The holders of Senior Indebtedness of ours or, if applicable, a Subsidiary Guarantor will receive payment in full of the Senior Indebtedness before holders of subordinated debt securities will receive any payment of principal, premium, if any, or interest with respect to the subordinated debt securities upon any payment or distribution of our assets or, if applicable to any series of outstanding debt securities, a Subsidiary Guarantor’s assets, to creditors:</w:t>
      </w:r>
    </w:p>
    <w:p>
      <w:pPr>
        <w:spacing w:after="0" w:line="63"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liquidation or dissolution of us or, if applicable to any series of outstanding debt securities, the Subsidiary Guarantors; or</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bankruptcy, receivership or similar proceeding relating to us or, if applicable to any series of outstanding debt securities, to the Subsidiary Guarantors.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Until the Senior Indebtedness is paid in full, any distribution to which holders of subordinated debt securities would otherwise be entitled will be made to the holders of Senior Indebtedness, except that the holders of subordinated debt securities may receive Capital Stock in us and any debt securities that are subordinated to Senior Indebtedness to at least the same extent as the subordinated debt securities.</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we do not pay any principal, premium, if any, or interest with respect to Senior Indebtedness within any applicable grace period (including at maturity), or any other default on Senior Indebtedness occurs and the maturity of the Senior Indebtedness is accelerated in accordance with its terms, we may not:</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of principal, premium, if any, or interest with respect to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deposit for the purpose of defeasance or discharge of the subordinated debt securities;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 redeem or otherwise retire any subordinated debt securities, except that in the case of subordinated debt securities that provide for a mandatory sinking fund, we may deliver subordinated debt securities to the trustee in satisfaction of our sinking fund obligation,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in either case: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has been cured or waived and any declaration or acceleration has been rescinded;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Indebtedness has been paid in full in cash; or</w:t>
      </w:r>
    </w:p>
    <w:p>
      <w:pPr>
        <w:spacing w:after="0" w:line="130"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trustee receive written notice approving the payment from the representatives of each issue of “Designated Senior Indebtedness.”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Generally, “Designated Senior Indebtedness” will include:</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issue of Senior Indebtedness of at least $100 million;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Senior Indebtedness that we may designate in respect of any series of subordinated debt securities.</w:t>
      </w:r>
    </w:p>
    <w:p>
      <w:pPr>
        <w:spacing w:after="0" w:line="225"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During the continuance of any default, other than a default described in the immediately preceding paragraph, that may cause the maturity of any Designated Senior Indebtedness to be accelerated immediately without further notice, other than any notice required to effect such acceleration, or the expiration of any applicable grace periods, we may not pay the subordinated debt securities for a period called the “Payment Blockage Period.” A Payment Blockage Period will commence on the receipt by us and the trustee of written notice of the default, called a “Blockage Notice,” from the representative of any Designated Senior Indebtedness specifying an election to effect a Payment Blockage Period and will end 179 days thereafter.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Payment Blockage Period may be terminated before its expiration:</w:t>
      </w:r>
    </w:p>
    <w:p>
      <w:pPr>
        <w:spacing w:after="0" w:line="13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the person or persons who gave the Blockage Notice;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repayment in full in cash of the Designated Senior Indebtedness with respect to which the Blockage Notice was given;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 giving rise to the Payment Blockage Period is no longer continuing.</w:t>
      </w:r>
    </w:p>
    <w:p>
      <w:pPr>
        <w:spacing w:after="0" w:line="225"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Unless the holders of the Designated Senior Indebtedness have accelerated the maturity of the Designated Senior Indebtedness, we may resume payments on the subordinated debt securities after the expiration of the Payment Blockage Period.</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Generally, not more than one Blockage Notice may be given in any period of 360 consecutive days. The total number of days during which any one or more Payment Blockage Periods are in effect, however, may not exceed an aggregate of 179 days during any period of 360 consecutive days.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After all Senior Indebtedness is paid in full and until the subordinated debt securities are paid in full, holders of the subordinated debt securities shall be subrogated to the rights of holders of Senior Indebtedness to receive distributions applicable to Senior Indebtedness.</w:t>
      </w:r>
    </w:p>
    <w:p>
      <w:pPr>
        <w:spacing w:after="0" w:line="16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a result of the subordination provisions described above, in the event of insolvency, the holders of Senior Indebtedness, as well as certain of our general creditors, may recover more, ratably, than the holders of the subordinated debt securities.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in the case of a corporation, corporate stock;</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36"/>
        <w:spacing w:after="0" w:line="282"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 and</w:t>
      </w:r>
    </w:p>
    <w:p>
      <w:pPr>
        <w:spacing w:after="0" w:line="225"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w:t>
      </w:r>
    </w:p>
    <w:p>
      <w:pPr>
        <w:spacing w:after="0" w:line="160" w:lineRule="exact"/>
        <w:rPr>
          <w:sz w:val="20"/>
          <w:szCs w:val="20"/>
          <w:color w:val="auto"/>
        </w:rPr>
      </w:pPr>
    </w:p>
    <w:p>
      <w:pPr>
        <w:ind w:left="120" w:right="6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at any date of determination, the total amount of assets of us and our consolidated subsidiaries after deducting therefrom:</w:t>
      </w:r>
    </w:p>
    <w:p>
      <w:pPr>
        <w:spacing w:after="0" w:line="52" w:lineRule="exact"/>
        <w:rPr>
          <w:sz w:val="20"/>
          <w:szCs w:val="20"/>
          <w:color w:val="auto"/>
        </w:rPr>
      </w:pPr>
    </w:p>
    <w:p>
      <w:pPr>
        <w:ind w:left="120" w:firstLine="436"/>
        <w:spacing w:after="0" w:line="282"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(A) any current liabilities that by their terms are extendable or renewable at the option of the obligor thereon to a time more than twelve months after the time as of which the amount thereof is being computed and (B) current maturities of long-term debt; and</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(net of any applicable reserves) of all goodwill, trade names, trademarks, patents and other like intangible assets, all as set forth, or on a pro forma basis would be set forth, on our consolidated balance sheet and our consolidated subsidiaries for our most recently completed fiscal quarter for which financial statements have been filed with the SEC, prepared in accordance with generally accepted accounting principles.</w:t>
      </w:r>
    </w:p>
    <w:p>
      <w:pPr>
        <w:spacing w:after="0" w:line="17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means that certain Credit Agreement, dated as of February 17, 2022, among the Company, Bank of America, N.A., as the administrative agent, collateral agent and swing line lender and the other agents and lenders party thereto, as the same may be further amended, restated, refinanced, replaced, renewed, refunded or otherwise modified, in whole or in part, from time to time.</w:t>
      </w:r>
    </w:p>
    <w:p>
      <w:pPr>
        <w:spacing w:after="0" w:line="173" w:lineRule="exact"/>
        <w:rPr>
          <w:sz w:val="20"/>
          <w:szCs w:val="20"/>
          <w:color w:val="auto"/>
        </w:rPr>
      </w:pPr>
    </w:p>
    <w:p>
      <w:pPr>
        <w:ind w:left="120" w:right="6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xml:space="preserve"> of any person at any date means any obligation created or assumed by such person for the repayment of borrowed money or any guaranty thereof.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means any Person that is not a direct or indirect subsidiary of ours in which we or any of our subsidiaries owns Capital Stock.</w:t>
      </w:r>
    </w:p>
    <w:p>
      <w:pPr>
        <w:spacing w:after="0" w:line="225"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Indebtedness</w:t>
      </w:r>
      <w:r>
        <w:rPr>
          <w:rFonts w:ascii="Times New Roman" w:cs="Times New Roman" w:eastAsia="Times New Roman" w:hAnsi="Times New Roman"/>
          <w:sz w:val="18"/>
          <w:szCs w:val="18"/>
          <w:color w:val="auto"/>
        </w:rPr>
        <w:t>” means any Indebtedness incurred by any Joint Venture or Non-Recourse Subsidiary which does not provide for recourse against us or any subsidiary of ours (other than a Non-Recourse Subsidiary) or any property or asset of ours or any subsidiary of ours (other than the Capital Stock or the properties or assets of a Joint Venture or Non-Recourse Subsidiary).</w:t>
      </w:r>
    </w:p>
    <w:p>
      <w:pPr>
        <w:spacing w:after="0" w:line="17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Subsidiary</w:t>
      </w:r>
      <w:r>
        <w:rPr>
          <w:rFonts w:ascii="Times New Roman" w:cs="Times New Roman" w:eastAsia="Times New Roman" w:hAnsi="Times New Roman"/>
          <w:sz w:val="18"/>
          <w:szCs w:val="18"/>
          <w:color w:val="auto"/>
        </w:rPr>
        <w:t>” means any subsidiary of ours (i) whose principal purpose is to incur Non-Recourse Indebtedness and/or construct, lease, own or operate the assets financed in whole or in part thereby, or to become a direct or indirect partner, member or other equity participant or owner in a partnership, limited partnership, limited liability partnership, corporation (including a business trust), limited liability company, unlimited liability company, joint stock company, trust, unincorporated association or joint venture created for such purpose (collectively, a “Business Entity”), (ii) who is not an obligor or otherwise bound with respect to any Indebtedness other than Non-Recourse Indebtedness, (iii) the majority of the assets of which subsidiary or Business Entity are limited to (x) those assets being financed (or to be financed), or the operation of which is being financed (or to be financed), in whole or in part by Non-Recourse Indebtedness, (y) Capital Stock in, or Indebtedness or other obligations of, one or more other Non-Recourse Subsidiaries or Business Entities or (z) other assets reasonably related thereto and (iv) any subsidiary of a Non-Recourse Subsidiary; provided that such subsidiary shall be considered to be a Non-Recourse Subsidiary only to the extent that and for so long as each of the above requirements are met.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liens upon rights-of-way for pipeline purposes;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61"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and which do not in the aggregate materially adversely affect the value of the properties encumbered thereby or materially impair their use in the operation of the business of us and our subsidiaries;</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or vested by any provision of law in any municipality or public authority to control or regulate any of the properties of us or any subsidiary or the use thereof or the rights and interests of us or any subsidiary therein, in any manner under any and all laws;</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reserved to the grantors of any properties of us or any subsidiary, and the restrictions, conditions, restrictive covenants and limitations, in respect thereto, pursuant to the terms, conditions and provisions of any rights-of-way agreements, contracts or other agreements therewith;</w:t>
      </w:r>
    </w:p>
    <w:p>
      <w:pPr>
        <w:spacing w:after="0" w:line="161"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statutory or governmental lien or lien arising by operation of law, or any mechanics’, repairmen’s, materialmen’s, suppliers’, carriers’, landlords’, warehousemen’s or similar lien incurred in the ordinary course of business which is not more than sixty (60) days past due or which is being contested in good faith by appropriate processes or proceedings and any undetermined lien which is incidental to construction, development, improvement or repair;</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reserved to, or vested in, any municipality or public authority by the terms of any right, power, franchise, grant, license, permit or by any provision of law, to purchase or recapture or to designate a purchaser of, any property;</w:t>
      </w:r>
    </w:p>
    <w:p>
      <w:pPr>
        <w:spacing w:after="0" w:line="161"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8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and assessments which are (a) for the then current year, (b) not at the time delinquent, or (c) delinquent but the validity or amount of which is being contested at the time by us or any of our subsidiaries in good faith by appropriate processes or proceedings;</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or to secure performance of, leases;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favor of us or any subsidiary;</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of us or any subsidiary in existence on the date of the initial issuance of the debt securities;</w:t>
      </w:r>
    </w:p>
    <w:p>
      <w:pPr>
        <w:spacing w:after="0" w:line="225" w:lineRule="exact"/>
        <w:rPr>
          <w:rFonts w:ascii="Times New Roman" w:cs="Times New Roman" w:eastAsia="Times New Roman" w:hAnsi="Times New Roman"/>
          <w:sz w:val="18"/>
          <w:szCs w:val="18"/>
          <w:color w:val="auto"/>
        </w:rPr>
      </w:pPr>
    </w:p>
    <w:p>
      <w:pPr>
        <w:ind w:left="120" w:right="540" w:firstLine="436"/>
        <w:spacing w:after="0" w:line="312" w:lineRule="auto"/>
        <w:tabs>
          <w:tab w:leader="none" w:pos="89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incurred in the ordinary course of business in connection with workmen’s compensation, unemployment insurance, temporary disability, social security, retiree health or similar laws or regulations or to secure obligations imposed by statute or governmental regulations;</w:t>
      </w:r>
    </w:p>
    <w:p>
      <w:pPr>
        <w:spacing w:after="0" w:line="139" w:lineRule="exact"/>
        <w:rPr>
          <w:rFonts w:ascii="Times New Roman" w:cs="Times New Roman" w:eastAsia="Times New Roman" w:hAnsi="Times New Roman"/>
          <w:sz w:val="17"/>
          <w:szCs w:val="17"/>
          <w:color w:val="auto"/>
        </w:rPr>
      </w:pPr>
    </w:p>
    <w:p>
      <w:pPr>
        <w:ind w:left="120" w:right="520" w:firstLine="436"/>
        <w:spacing w:after="0" w:line="261" w:lineRule="auto"/>
        <w:tabs>
          <w:tab w:leader="none" w:pos="9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person to secure obligations under provisions of any letters of credit, bank guarantees, bonds or surety obligations required or requested by any governmental authority in connection with any contract or statute, provided that such obligations do not constitute Indebtedness; or any lien upon or deposits of any assets to secure performance of bids, trade contracts, leases or statutory obligations, and other obligations of a like nature incurred in the ordinary course of business;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9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created at the time of acquisition of such property or assets by us or any of our subsidiaries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5" w:lineRule="exact"/>
        <w:rPr>
          <w:rFonts w:ascii="Times New Roman" w:cs="Times New Roman" w:eastAsia="Times New Roman" w:hAnsi="Times New Roman"/>
          <w:sz w:val="18"/>
          <w:szCs w:val="18"/>
          <w:color w:val="auto"/>
        </w:rPr>
      </w:pPr>
    </w:p>
    <w:p>
      <w:pPr>
        <w:ind w:left="120" w:firstLine="436"/>
        <w:spacing w:after="0" w:line="266" w:lineRule="auto"/>
        <w:tabs>
          <w:tab w:leader="none" w:pos="9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to secure all or part of the cost of construction, development, repair or improvements thereon or to secure Indebtedness incurred prior to, at the time of, or within one year after completion of such construction, development, repair or improvements or the commencement of full operations thereof (whichever is later), to provide funds for any such purpose;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66" w:lineRule="auto"/>
        <w:tabs>
          <w:tab w:leader="none" w:pos="9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upon any property or assets existing thereon at the time of the acquisition thereof by us or any of our subsidiaries and any lien upon any property or assets of a person existing thereon at the time such person becomes a subsidiary of us by acquisition, merger or otherwise; provided that, in each case, such lien only encumbers the property or assets so acquired or owned by such person at the time such person becomes a subsidiary;</w:t>
      </w:r>
    </w:p>
    <w:p>
      <w:pPr>
        <w:spacing w:after="0" w:line="175" w:lineRule="exact"/>
        <w:rPr>
          <w:rFonts w:ascii="Times New Roman" w:cs="Times New Roman" w:eastAsia="Times New Roman" w:hAnsi="Times New Roman"/>
          <w:sz w:val="18"/>
          <w:szCs w:val="18"/>
          <w:color w:val="auto"/>
        </w:rPr>
      </w:pPr>
    </w:p>
    <w:p>
      <w:pPr>
        <w:ind w:left="120" w:right="20" w:firstLine="436"/>
        <w:spacing w:after="0" w:line="312" w:lineRule="auto"/>
        <w:tabs>
          <w:tab w:leader="none" w:pos="90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law or order as a result of any proceeding before any court or regulatory body that is being contested in good faith, and liens which secure a judgment or other court-ordered award or settlement as to which we or the applicable subsidiary has not exhausted its appellate rights;</w:t>
      </w:r>
    </w:p>
    <w:p>
      <w:pPr>
        <w:spacing w:after="0" w:line="139" w:lineRule="exact"/>
        <w:rPr>
          <w:rFonts w:ascii="Times New Roman" w:cs="Times New Roman" w:eastAsia="Times New Roman" w:hAnsi="Times New Roman"/>
          <w:sz w:val="17"/>
          <w:szCs w:val="17"/>
          <w:color w:val="auto"/>
        </w:rPr>
      </w:pPr>
    </w:p>
    <w:p>
      <w:pPr>
        <w:ind w:left="120" w:right="20" w:firstLine="436"/>
        <w:spacing w:after="0" w:line="256" w:lineRule="auto"/>
        <w:tabs>
          <w:tab w:leader="none" w:pos="9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refinancing, refunding or replacement (or successive extensions, renewals, refinancing, refunding or replacements) of liens, in whole or in part, referred to in clauses (1) through (16)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us or our subsidiaries (including any premium) incurred in connection with such extension, renewal, refinancing, refunding or replacement;</w:t>
      </w:r>
    </w:p>
    <w:p>
      <w:pPr>
        <w:spacing w:after="0" w:line="187"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property or assets, or pledges of Capital Stock, of (a) any Joint Venture owned by us or any subsidiary of ours or (b) 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Non-Recourse Subsidiary, in each case only to the extent securing Non-Recourse Indebtedness of such Joint Venture or Non-Recourse Subsidiary; and</w:t>
      </w:r>
    </w:p>
    <w:p>
      <w:pPr>
        <w:spacing w:after="0" w:line="207" w:lineRule="exact"/>
        <w:rPr>
          <w:sz w:val="20"/>
          <w:szCs w:val="20"/>
          <w:color w:val="auto"/>
        </w:rPr>
      </w:pPr>
    </w:p>
    <w:p>
      <w:pPr>
        <w:ind w:left="120" w:right="200" w:firstLine="436"/>
        <w:spacing w:after="0" w:line="282" w:lineRule="auto"/>
        <w:tabs>
          <w:tab w:leader="none" w:pos="9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resulting from the deposit of moneys or evidence of indebtedness in trust for the purpose of defeasing Indebtedness of us or any of our subsidiaries.</w:t>
      </w:r>
    </w:p>
    <w:p>
      <w:pPr>
        <w:spacing w:after="0" w:line="160" w:lineRule="exact"/>
        <w:rPr>
          <w:sz w:val="20"/>
          <w:szCs w:val="20"/>
          <w:color w:val="auto"/>
        </w:rPr>
      </w:pPr>
    </w:p>
    <w:p>
      <w:pPr>
        <w:ind w:left="120" w:right="2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whether owned or leased on the date of the initial issuance of the debt securities or thereafter acquired:</w:t>
      </w:r>
    </w:p>
    <w:p>
      <w:pPr>
        <w:spacing w:after="0" w:line="119" w:lineRule="exact"/>
        <w:rPr>
          <w:sz w:val="20"/>
          <w:szCs w:val="20"/>
          <w:color w:val="auto"/>
        </w:rPr>
      </w:pPr>
    </w:p>
    <w:p>
      <w:pPr>
        <w:ind w:left="120" w:right="40" w:firstLine="436"/>
        <w:spacing w:after="0" w:line="266"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pipeline assets of us or any of our subsidiaries, including any related facilities employed in the gathering, transportation, distribution, storage or marketing of natural gas, refined petroleum products, natural gas liquids and petrochemicals, that are located in the United States of America; and</w:t>
      </w:r>
    </w:p>
    <w:p>
      <w:pPr>
        <w:spacing w:after="0" w:line="175"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8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processing, compression, treating, blending or manufacturing plant or terminal owned or leased by us or any of our subsidiaries that is located in the United States except in the case of either of the preceding clause (1) or this clause (2):</w:t>
      </w:r>
    </w:p>
    <w:p>
      <w:pPr>
        <w:spacing w:after="0" w:line="54" w:lineRule="exact"/>
        <w:rPr>
          <w:sz w:val="20"/>
          <w:szCs w:val="20"/>
          <w:color w:val="auto"/>
        </w:rPr>
      </w:pPr>
    </w:p>
    <w:p>
      <w:pPr>
        <w:ind w:left="560" w:right="680" w:hanging="4"/>
        <w:spacing w:after="0" w:line="282" w:lineRule="auto"/>
        <w:tabs>
          <w:tab w:leader="none" w:pos="8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consisting of inventories, furniture, office fixtures and equipment (including data processing equipment), vehicles and equipment used on, or useful with, vehicles; and</w:t>
      </w:r>
    </w:p>
    <w:p>
      <w:pPr>
        <w:spacing w:after="0" w:line="5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assets which, in our good faith opinion, are not material in relation to the activities of us and our subsidiaries taken as a whole.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owning or leasing, directly or indirectly through ownership in another subsidiary, any Principal Property.</w:t>
      </w:r>
    </w:p>
    <w:p>
      <w:pPr>
        <w:spacing w:after="0" w:line="22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any corporation, association or business entity of which more than 50% of the total voting power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entitled (without regard to the occurrence of any contingency) to vote in the election of directors, managers, or trustees thereof or any partnership of which more than 50% of the partners’ equity interests (considering all partners’ equity interests as a single class) is, in each case, at the time owned or controlled, directly or indirectly, by such Person or one or more subsidiaries of such Person or combination thereof.</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summary of our common stock, preferred stock, amended and restated certificate of incorporation, as amended (the “amended and restated certificate of incorporation”) and amended and restated bylaws does not purport to be complete and is qualified in its entirety by reference to the provisions of applicable law and to our amended and restated certificate of incorporation, and amended and restated bylaws, which are filed as exhibits 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authorized common stock of Targa Resources Corp. consists of 450,000,000 shares, $0.001 par value per share. As of March 18, 2022, we had 228,486,051 shares of common stock issued outstanding.</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Except as provided by law or in a preferred stock designation, holders of common stock are entitled to one vote for each share held of record on all matters submitted to a vote of the stockholders, have the exclusive right to vote for the election of directors and do not have cumulative voting rights. Except as otherwise required by law, holders of common stock, as such, are not entitled to vote on any amendment to the certificate of incorporation (including any certificate of designations relating to any series of preferred stock) that relates solely to the terms of any outstanding series of preferred stock if the holders of such affected series are entitled, either separately or together with the holders of one or more other such series, to vote thereon pursuant to the certificate of incorporation (including any certificate of designations relating to any series of preferred stock) or pursuant to the General Corporation Law of the State of Delaware (the “DGCL”). Subject to preferences that may be applicable to any outstanding shares or series of preferred stock, holders of common stock are entitled to receive ratably such dividends (payable in cash, stock or otherwise), if any, as may be declared from time to time by our board of directors out of funds legally available for dividend payments. All outstanding shares of common stock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authorized preferred stock of Targa Resources Corp. consists of 100,000,000 shares, $0.001 par value per share. As of March 18, 2022, we had 919,300 shares of Series A Preferred Stock (the “Series A Preferred Stock”) issued and outstanding. Our amended and restated certificate of incorporation authorizes our board of directors, subject to any limitations prescribed by law, without further stockholder approval, to establish and to issue from time to time one or more classes or series of preferred stock. Each class or series of preferred stock will cover the number of shares and will have the powers, preferences, rights, qualifications, limitations and restrictions determined by the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spacing w:after="0" w:line="18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March 2016, we issued 965,100 shares of Series A Preferred Stock, which rank senior to our common stock with respect to distribution rights and rights upon liquidation. In December 2020, we repurchased 45,800 shares of Series A Preferred Stock. Subject to certain exceptions, so long as any Series A Preferred Stock remains outstanding, we may not declare any dividend or distribution on our common stock unless all accumulated and unpaid dividends have been declared and paid on the Series A Preferred Stock. In the event of our liquidation, winding-up or dissolution, the holders of the Series A Preferred Stock would have the right to receive proceeds from any such transaction before the holders of the common stock. Distributions on the Preferred Shares are paid quarterly out of funds legally available for payment, in an amount equal to an annual rate of 9.5% ($95.00 per share annualized) of $1,000 per Preferred Share, subject to certain adjustments.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Certificate of Designations governing the Series A Preferred Stock provides the holders of the Series A Preferred Stock with the right to vote, under certain conditions, on an as-converted basis with our common stockholders on matters submitted to a stockholder vote. So long as any Series A Preferred Stock is outstanding, subject to certain exceptions, the affirmative vote or consent of the holders of at least a majority of the outstanding Series A Preferred Stock, voting together as a separate class, will be necessary for effecting or validating, among other things: (i) any issuance of stock senior to the Series A Preferred Stock, (ii) any issuance, authorization or creation of, or any increase by any of our consolidated subsidiaries of any issued or authorized amount of, any specific class or series of securities, (iii) any issuance by us of parity stock, subject to certain exceptions and (iv) any incurrence of indebtedness by us and our consolidated subsidiaries for borrowed monies, other than under our existing credit agreement and the Partnership’s existing credit agreement (or replacement commercial bank credit facilities) in an aggregate amount up to $2.75 billion, or indebtedness that complies with a specified fixed charge coverage ratio.</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Our Amended and Restated Certificate of Incorporation, Our Amended and Restated Bylaws and Delaware Law</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our amended and restated certificate of incorporation and our amended and restated bylaws described below, contain provisions that could make the following transactions more difficult: acquisitions of us by means of a tender offer, a proxy contest or otherwise and removal of our incumbent officers and directors. These provisions may also have the effect of preventing changes in our management.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60"/>
        <w:spacing w:after="0" w:line="281" w:lineRule="auto"/>
        <w:rPr>
          <w:sz w:val="20"/>
          <w:szCs w:val="20"/>
          <w:color w:val="auto"/>
        </w:rPr>
      </w:pPr>
      <w:r>
        <w:rPr>
          <w:rFonts w:ascii="Times New Roman" w:cs="Times New Roman" w:eastAsia="Times New Roman" w:hAnsi="Times New Roman"/>
          <w:sz w:val="17"/>
          <w:szCs w:val="17"/>
          <w:color w:val="auto"/>
        </w:rPr>
        <w:t>These provisions, summarized below,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we are subject to the provisions of Section 203 of the DGCL. In general, those provisions prohibit a Delaware corporation, including those whose securities are listed for trading on the NYSE, from engaging in any business combination with any interested stockholder for a period of three years following the date that the stockholder became an interested stockholder, unless:</w:t>
      </w:r>
    </w:p>
    <w:p>
      <w:pPr>
        <w:spacing w:after="0" w:line="63"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time as such person becomes an interested stockholder, the business combination is approved by the board of directors and authorized at a meeting of stockholders by at least two-thirds of the outstanding voting stock that is not owned by the interested stockholder.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(in one or a series of transactions) of 10% or more of the assets of the corporation involving the interested stockholder;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directly or indirectly, of any loans, advances, guarantees, pledges or other financial benefits provided by or through the corporation.</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80" w:right="2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advance notice procedures with regard to stockholder proposals relating to the nomination of candidates for election as directors or new business to be brought before meetings of our stockholders, which may preclude our stockholders from bringing matters before our stockholders at an annual or special meeting;</w:t>
      </w:r>
    </w:p>
    <w:p>
      <w:pPr>
        <w:spacing w:after="0" w:line="81"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procedures provide that notice of stockholder proposals must be timely given in writing to our corporate secretary prior to the meeting at which the action is to be taken;</w:t>
      </w:r>
    </w:p>
    <w:p>
      <w:pPr>
        <w:spacing w:after="0" w:line="67"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be timely, notice must be received at our principal executive offices not less than 90 days nor more than 120 days prior to the first anniversary date of the annual meeting for the preceding year;</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authorize undesignated preferred stock. This ability makes it possible for our board of directors to issue, without stockholder approval,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shall be divided into three classes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action required or permitted to be taken by the stockholders must be effected at a duly called annual or special meeting of stockholders and may not be effected by any consent in writing in lieu of a meeting of such stockholders, subject to the rights of the holders of any series of preferred stock;</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holders of at least 66 2/3% of the voting power of our then outstanding common stock;</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amended and restated certificate of incorporation and amended and restated bylaws may be amended by the affirmative vote of the holders of at least 66 2/3% of our then outstanding common stock;</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only be called by our board of directors, our chief executive officer or the chairman of the board;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amended and restated bylaws can be amended or repealed by our board of directors or our stockholders.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liability of our directors for monetary damages for breach of their fiduciary duty as directors, except for the following liabilities that cannot be eliminated under the DGCL:</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unlawful payment of dividends or an unlawful stock purchase or redemption, as provided under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62"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the DGCL. Our amended and restated bylaws also permit us to purchase insurance on behalf of any of our officers, directors, employees or agents or any person who is or was serving at our request as an officer, director, employee or agent of another enterprise for any expense, liability or loss asserted against such person and incurred by any such person in any such capacity, or arising out of that person’s status as such, regardless of whether the DGCL would permit indemnification.</w:t>
      </w:r>
    </w:p>
    <w:p>
      <w:pPr>
        <w:spacing w:after="0" w:line="183"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 agreements provide that we will indemnify and hold harmless each indemnitee for certain expenses to the fullest extent permitted or authorized by law, including the DGCL, in effect on the date of the agreement or as it may be amended to provide more advantageous rights to the indemnitee. If such indemnification is unavailable as a result of a court decision and if we and the indemnitee are jointly liable in the proceeding, we will contribute funds to the indemnitee for his expenses in proportion to relative benefit and fault of us and the indemnitee in the transaction giving rise to the proceeding. The indemnification agreements also provide that we will indemnify the indemnitee for monetary damages for actions taken as our director or officer or for serving at our request as a director or officer or another position at another corporation or enterprise, as the case may be but only if (i) the indemnitee acted in good faith and, in the case of conduct in his official capacity, in a manner he reasonably believed to be in our best interests and, in all other cases, not opposed to our best interests and (ii) in the case of a criminal proceeding, the indemnitee must have had no reasonable cause to believe that his conduct was unlawful. The indemnification agreements also provide that we must advance payment of certain expenses to the indemnitee, including fees of counsel, subject to receipt of an undertaking from the indemnitee to return such advance if it is ultimately determined that the indemnitee is not entitled to indemnification.</w:t>
      </w:r>
    </w:p>
    <w:p>
      <w:pPr>
        <w:spacing w:after="0" w:line="19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believe that the limitation of liability provision in our amended and restated certificate of incorporation and the indemnification agreements will facilitate our ability to continue to attract and retain qualified individuals to serve as directors and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and our Series A Preferred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“TRGP.”</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may offer depositary shares (either separately or together with other securities) representing fractional interests in our preferred stock of any series. In connection with the issuance of any depositary shares, we will enter into a depositary agreement with a bank or trust company, as depositary, which will be named in the applicable prospectus supplement. Depositary shares will be evidenced by depositary receipts issued pursuant to the related depositary agreement. If we elect to offer fractional interests in shares of preferred stock to the public, we will deposit the preferred stock with the relevant preferred stock depositary and will cause the preferred stock depositary to issue, on our behalf, the related depositary receipts. Subject to the terms of the depositary agreement, each owner of a depositary receipt will be entitled, in proportion to the fraction of a share of preferred stock represented by the related depositary share, to all the rights, preferences and privileges of, and will be subject to all of the limitations and restrictions on, the preferred stock represented by the depositary receipt (including, if applicable, dividend, voting, conversion, exchange redemption and liquidation rights).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our common stock. Warrants may be issued independently or together with our debt securities, preferred stock or common stock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w:t>
      </w:r>
    </w:p>
    <w:p>
      <w:pPr>
        <w:spacing w:after="0" w:line="189"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a particular issue of warrants for the terms of and information relating to the warrants, including, where applicable:</w:t>
      </w:r>
    </w:p>
    <w:p>
      <w:pPr>
        <w:spacing w:after="0" w:line="67" w:lineRule="exact"/>
        <w:rPr>
          <w:sz w:val="20"/>
          <w:szCs w:val="20"/>
          <w:color w:val="auto"/>
        </w:rPr>
      </w:pPr>
    </w:p>
    <w:p>
      <w:pPr>
        <w:ind w:left="540" w:right="60" w:hanging="424"/>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purchasable upon exercise of the warrants and the price at which such number of shares of common stock may be purchased upon exercise of the warrants;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commences and the date on which such right expires (the “Expiration Date”);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warrants outstanding as of the most recent practicable date;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Warrants will be offered and exercisable for United States dollars only. Warrants will be issued in registered form only. Each warrant will entitle its holder to purchase such number of shares of common stock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w:t>
      </w:r>
    </w:p>
    <w:p>
      <w:pPr>
        <w:spacing w:after="0" w:line="18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Prior to the exercise of any warrants, holders of the warrants will not have any of the rights of holders of common stock, including the right to receive payments of any dividends on the common stock purchasable upon exercise of the warrants, or to exercise any applicable right to vote.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this prospectus, we intend to offer our securities to the public:</w:t>
      </w:r>
    </w:p>
    <w:p>
      <w:pPr>
        <w:spacing w:after="0" w:line="131" w:lineRule="exact"/>
        <w:rPr>
          <w:sz w:val="20"/>
          <w:szCs w:val="20"/>
          <w:color w:val="auto"/>
        </w:rPr>
      </w:pPr>
    </w:p>
    <w:p>
      <w:pPr>
        <w:ind w:left="1080" w:right="1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broker-dealers who may act as agent or may purchase securities as principal and thereafter resell the securities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underwriters for public offering and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fix a price of our securities or will price our securities at:</w:t>
      </w:r>
    </w:p>
    <w:p>
      <w:pPr>
        <w:spacing w:after="0" w:line="131"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any sale under this registration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then-current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change the price of the securities offered from time to time.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will pay or allow distributors’ or sellers’ commissions that will not exceed those customary in the types of transactions involved. Broker-dealers may act as agents or may purchase securities as principal and thereafter resell the securities from time to time:</w:t>
      </w:r>
    </w:p>
    <w:p>
      <w:pPr>
        <w:spacing w:after="0" w:line="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 through one or more transactions (which may involve cross transactions and block trades) or distributions;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NYSE;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 transactions.</w:t>
      </w:r>
    </w:p>
    <w:p>
      <w:pPr>
        <w:spacing w:after="0" w:line="225"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80"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prospectus supplement with respect to any offering of securities will set forth the terms of the offering, including: (i) the name or names of any underwriters; (ii) the purchase price of the securities and the proceeds to us from the sale; (iii) any underwriting discounts and commissions and other items constituting underwriters’ compensation; (iv) any delayed delivery arrangements; and (v) other important information.</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will enter into an underwriting agreement with the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We may indemnify underwriters, brokers, dealers and agents against specific liabilities, including liabilities under the Securities Act. Any underwriters, brokers, dealers and agents who participate in any sale of the securities may also engage in transactions with, or perform services for, us or our affiliates in the ordinary course of their businesses.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will be passed upon by Vinson &amp; Elkins L.L.P., Houston, Texas, as our counsel. Any underwriter or agent will be advised about other issues relating to any offering by its own legal counsel.</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645795</wp:posOffset>
            </wp:positionV>
            <wp:extent cx="2040255" cy="574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20402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Targa Resources Corp.</w:t>
      </w:r>
    </w:p>
    <w:p>
      <w:pPr>
        <w:spacing w:after="0" w:line="200" w:lineRule="exact"/>
        <w:rPr>
          <w:sz w:val="20"/>
          <w:szCs w:val="20"/>
          <w:color w:val="auto"/>
        </w:rPr>
      </w:pPr>
    </w:p>
    <w:p>
      <w:pPr>
        <w:spacing w:after="0" w:line="318"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29"/>
          <w:szCs w:val="29"/>
          <w:b w:val="1"/>
          <w:bCs w:val="1"/>
          <w:color w:val="auto"/>
        </w:rPr>
        <w:t>$             % Senior Notes due 2035</w:t>
      </w:r>
    </w:p>
    <w:p>
      <w:pPr>
        <w:spacing w:after="0" w:line="220"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29"/>
          <w:szCs w:val="29"/>
          <w:b w:val="1"/>
          <w:bCs w:val="1"/>
          <w:color w:val="auto"/>
        </w:rPr>
        <w:t>$             % Senior Notes due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1449705</wp:posOffset>
            </wp:positionV>
            <wp:extent cx="1474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ectPr>
          <w:pgSz w:w="11900" w:h="16838" w:orient="portrait"/>
          <w:cols w:equalWidth="0" w:num="1">
            <w:col w:w="11140"/>
          </w:cols>
          <w:pgMar w:left="320" w:top="455" w:right="439" w:bottom="1440" w:gutter="0" w:footer="0" w:header="0"/>
        </w:sectPr>
      </w:pPr>
    </w:p>
    <w:p>
      <w:pPr>
        <w:spacing w:after="0" w:line="1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BofA Securities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9"/>
          <w:szCs w:val="19"/>
          <w:b w:val="1"/>
          <w:bCs w:val="1"/>
          <w:color w:val="auto"/>
        </w:rPr>
        <w:t>MUFG</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RBC Capital Markets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Wells Fargo Securities</w:t>
      </w:r>
    </w:p>
    <w:p>
      <w:pPr>
        <w:spacing w:after="0" w:line="133" w:lineRule="exact"/>
        <w:rPr>
          <w:sz w:val="20"/>
          <w:szCs w:val="20"/>
          <w:color w:val="auto"/>
        </w:rPr>
      </w:pPr>
    </w:p>
    <w:p>
      <w:pPr>
        <w:sectPr>
          <w:pgSz w:w="11900" w:h="16838" w:orient="portrait"/>
          <w:cols w:equalWidth="0" w:num="4">
            <w:col w:w="2360" w:space="720"/>
            <w:col w:w="1460" w:space="720"/>
            <w:col w:w="3260" w:space="720"/>
            <w:col w:w="190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9"/>
          <w:szCs w:val="19"/>
          <w:b w:val="1"/>
          <w:bCs w:val="1"/>
          <w:color w:val="auto"/>
        </w:rPr>
        <w:t>Barclays</w:t>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Times New Roman" w:cs="Times New Roman" w:eastAsia="Times New Roman" w:hAnsi="Times New Roman"/>
          <w:sz w:val="19"/>
          <w:szCs w:val="19"/>
          <w:b w:val="1"/>
          <w:bCs w:val="1"/>
          <w:color w:val="auto"/>
        </w:rPr>
        <w:t>Capital One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J.P. Morgan</w:t>
      </w:r>
    </w:p>
    <w:p>
      <w:pPr>
        <w:spacing w:after="0" w:line="133" w:lineRule="exact"/>
        <w:rPr>
          <w:sz w:val="20"/>
          <w:szCs w:val="20"/>
          <w:color w:val="auto"/>
        </w:rPr>
      </w:pPr>
    </w:p>
    <w:p>
      <w:pPr>
        <w:sectPr>
          <w:pgSz w:w="11900" w:h="16838" w:orient="portrait"/>
          <w:cols w:equalWidth="0" w:num="4">
            <w:col w:w="2200" w:space="720"/>
            <w:col w:w="3400" w:space="720"/>
            <w:col w:w="1760" w:space="720"/>
            <w:col w:w="162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9"/>
          <w:szCs w:val="19"/>
          <w:b w:val="1"/>
          <w:bCs w:val="1"/>
          <w:color w:val="auto"/>
        </w:rPr>
        <w:t>Mizuho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PNC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1052830</wp:posOffset>
            </wp:positionV>
            <wp:extent cx="1474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Truist Securities</w:t>
      </w:r>
    </w:p>
    <w:p>
      <w:pPr>
        <w:spacing w:after="0" w:line="200" w:lineRule="exact"/>
        <w:rPr>
          <w:sz w:val="20"/>
          <w:szCs w:val="20"/>
          <w:color w:val="auto"/>
        </w:rPr>
      </w:pPr>
    </w:p>
    <w:p>
      <w:pPr>
        <w:sectPr>
          <w:pgSz w:w="11900" w:h="16838" w:orient="portrait"/>
          <w:cols w:equalWidth="0" w:num="4">
            <w:col w:w="1720" w:space="720"/>
            <w:col w:w="4300" w:space="720"/>
            <w:col w:w="1140" w:space="640"/>
            <w:col w:w="1900"/>
          </w:cols>
          <w:pgMar w:left="320" w:top="45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414020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lowerRoman"/>
      <w:start w:val="3"/>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lvl w:ilvl="1">
      <w:lvlJc w:val="left"/>
      <w:lvlText w:val="(%2)"/>
      <w:numFmt w:val="lowerLetter"/>
      <w:start w:val="2"/>
    </w:lvl>
  </w:abstractNum>
  <w:abstractNum w:abstractNumId="12">
    <w:nsid w:val="440BADFC"/>
    <w:multiLevelType w:val="hybridMultilevel"/>
    <w:lvl w:ilvl="0">
      <w:lvlJc w:val="left"/>
      <w:lvlText w:val="(%1)"/>
      <w:numFmt w:val="decimal"/>
      <w:start w:val="2"/>
    </w:lvl>
    <w:lvl w:ilvl="1">
      <w:lvlJc w:val="left"/>
      <w:lvlText w:val="%2"/>
      <w:numFmt w:val="lowerLetter"/>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lvl w:ilvl="1">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decimal"/>
      <w:start w:val="2"/>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2"/>
    </w:lvl>
  </w:abstractNum>
  <w:abstractNum w:abstractNumId="45">
    <w:nsid w:val="75C6C33A"/>
    <w:multiLevelType w:val="hybridMultilevel"/>
    <w:lvl w:ilvl="0">
      <w:lvlJc w:val="left"/>
      <w:lvlText w:val="(%1)"/>
      <w:numFmt w:val="decimal"/>
      <w:start w:val="15"/>
    </w:lvl>
  </w:abstractNum>
  <w:abstractNum w:abstractNumId="46">
    <w:nsid w:val="12E685FB"/>
    <w:multiLevelType w:val="hybridMultilevel"/>
    <w:lvl w:ilvl="0">
      <w:lvlJc w:val="left"/>
      <w:lvlText w:val="(%1)"/>
      <w:numFmt w:val="decimal"/>
      <w:start w:val="19"/>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lvl w:ilvl="1">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jpe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53" Type="http://schemas.openxmlformats.org/officeDocument/2006/relationships/hyperlink" Target="http://www.sec.gov/ix?doc=/Archives/edgar/data/1389170/000095017025023983/trgp-20241231.htm" TargetMode="External"/><Relationship Id="rId54" Type="http://schemas.openxmlformats.org/officeDocument/2006/relationships/hyperlink" Target="http://www.sec.gov/ix?doc=/Archives/edgar/data/1389170/000119312525030752/d837589d8k.htm" TargetMode="External"/><Relationship Id="rId65" Type="http://schemas.openxmlformats.org/officeDocument/2006/relationships/hyperlink" Target="http://www.sec.gov/ix?doc=/Archives/edgar/data/0001389170/000156459022006563/trgp-10k_20211231.htm" TargetMode="External"/><Relationship Id="rId66" Type="http://schemas.openxmlformats.org/officeDocument/2006/relationships/hyperlink" Target="http://www.sec.gov/ix?doc=/Archives/edgar/data/0001389170/000119312522050041/d305853d8k.htm" TargetMode="External"/><Relationship Id="rId67" Type="http://schemas.openxmlformats.org/officeDocument/2006/relationships/hyperlink" Target="http://www.sec.gov/ix?doc=/Archives/edgar/data/1389170/000119312522070606/d311110d8k.htm" TargetMode="External"/><Relationship Id="rId68" Type="http://schemas.openxmlformats.org/officeDocument/2006/relationships/hyperlink" Target="http://www.sec.gov/Archives/edgar/data/0001389170/000095012310110293/h75749de8va12b.htm" TargetMode="External"/><Relationship Id="rId69" Type="http://schemas.openxmlformats.org/officeDocument/2006/relationships/hyperlink" Target="http://www.sec.gov/Archives/edgar/data/1389170/000156459020005592/trgp-ex48_7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2025-02-24T07:59:43Z</dcterms:created>
  <dcterms:modified xsi:type="dcterms:W3CDTF">2025-02-24T07:59:43Z</dcterms:modified>
</cp:coreProperties>
</file>