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96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964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Muraro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 LOUISIANA, SUITE 2100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Targa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TRGP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9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00" w:type="dxa"/>
            <w:vAlign w:val="bottom"/>
            <w:gridSpan w:val="8"/>
            <w:vMerge w:val="continue"/>
          </w:tcPr>
          <w:p>
            <w:pPr>
              <w:spacing w:after="0"/>
              <w:rPr>
                <w:sz w:val="8"/>
                <w:szCs w:val="8"/>
                <w:color w:val="auto"/>
              </w:rPr>
            </w:pPr>
          </w:p>
        </w:tc>
        <w:tc>
          <w:tcPr>
            <w:tcW w:w="33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6"/>
          </w:tcPr>
          <w:p>
            <w:pPr>
              <w:ind w:left="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03/05/2026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24,589</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241.3428</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197,401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$241.01 to $241.67, inclusive. The reporting person undertakes to provide to Targa Resources Corp., any security holder of Targa Resources Corp., or the staff of the United States Securities and Exchange Commission, upon request, full information regarding the number of shares sold at each separate price within the range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Robert M. Muraro</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9420" TargetMode="External"/><Relationship Id="rId14" Type="http://schemas.openxmlformats.org/officeDocument/2006/relationships/hyperlink" Target="http://www.sec.gov/cgi-bin/browse-edgar?action=getcompany&amp;CIK=0001389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2026-03-06T15:39:23Z</dcterms:created>
  <dcterms:modified xsi:type="dcterms:W3CDTF">2026-03-06T15:39:23Z</dcterms:modified>
</cp:coreProperties>
</file>