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TONG CHRIS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12/06/2010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Targa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TRGP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1000 LOUISIANA, SUITE 4300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44"/>
              <w:spacing w:after="0"/>
              <w:rPr>
                <w:sz w:val="20"/>
                <w:szCs w:val="20"/>
                <w:color w:val="auto"/>
              </w:rPr>
            </w:pPr>
            <w:r>
              <w:rPr>
                <w:rFonts w:ascii="Arial" w:cs="Arial" w:eastAsia="Arial" w:hAnsi="Arial"/>
                <w:sz w:val="18"/>
                <w:szCs w:val="18"/>
                <w:color w:val="0000FF"/>
              </w:rPr>
              <w:t>100,552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23,684</w:t>
            </w:r>
          </w:p>
        </w:tc>
        <w:tc>
          <w:tcPr>
            <w:tcW w:w="880" w:type="dxa"/>
            <w:vAlign w:val="bottom"/>
          </w:tcPr>
          <w:p>
            <w:pPr>
              <w:ind w:left="240"/>
              <w:spacing w:after="0"/>
              <w:rPr>
                <w:sz w:val="20"/>
                <w:szCs w:val="20"/>
                <w:color w:val="auto"/>
              </w:rPr>
            </w:pPr>
            <w:r>
              <w:rPr>
                <w:rFonts w:ascii="Arial" w:cs="Arial" w:eastAsia="Arial" w:hAnsi="Arial"/>
                <w:sz w:val="18"/>
                <w:szCs w:val="18"/>
                <w:color w:val="0000FF"/>
              </w:rPr>
              <w:t>12.23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5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Tong may exercise the options to purchase common stock at any time while he continues to remain a director of Targa Resources Corp. ("Targa"), and the options to purchase common stock will generally terminate and cease to be exercisable at such time as Mr. Tong no longer serves as a director of Targa.</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See attached for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Chris Tong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12/06/2010</w:t>
            </w:r>
          </w:p>
        </w:tc>
      </w:tr>
      <w:tr>
        <w:trPr>
          <w:trHeight w:val="20"/>
        </w:trPr>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1"/>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For Executing Forms 3, 4 and 5, Form 144 and Schedules 13D and 13G</w:t>
      </w:r>
    </w:p>
    <w:p>
      <w:pPr>
        <w:spacing w:after="0" w:line="166" w:lineRule="exact"/>
        <w:rPr>
          <w:sz w:val="20"/>
          <w:szCs w:val="20"/>
          <w:color w:val="auto"/>
        </w:rPr>
      </w:pPr>
    </w:p>
    <w:p>
      <w:pPr>
        <w:jc w:val="both"/>
        <w:ind w:left="8" w:right="399" w:firstLine="389"/>
        <w:spacing w:after="0" w:line="266" w:lineRule="auto"/>
        <w:rPr>
          <w:sz w:val="20"/>
          <w:szCs w:val="20"/>
          <w:color w:val="auto"/>
        </w:rPr>
      </w:pPr>
      <w:r>
        <w:rPr>
          <w:rFonts w:ascii="Arial" w:cs="Arial" w:eastAsia="Arial" w:hAnsi="Arial"/>
          <w:sz w:val="18"/>
          <w:szCs w:val="18"/>
          <w:color w:val="auto"/>
        </w:rPr>
        <w:t xml:space="preserve">Known by all these present, that the undersigned hereby constitutes and appoints each of </w:t>
      </w:r>
      <w:r>
        <w:rPr>
          <w:rFonts w:ascii="Arial" w:cs="Arial" w:eastAsia="Arial" w:hAnsi="Arial"/>
          <w:sz w:val="18"/>
          <w:szCs w:val="18"/>
          <w:b w:val="1"/>
          <w:bCs w:val="1"/>
          <w:color w:val="auto"/>
        </w:rPr>
        <w:t>Jeffrey J. McParland, Matthew J.</w:t>
      </w:r>
      <w:r>
        <w:rPr>
          <w:rFonts w:ascii="Arial" w:cs="Arial" w:eastAsia="Arial" w:hAnsi="Arial"/>
          <w:sz w:val="18"/>
          <w:szCs w:val="18"/>
          <w:color w:val="auto"/>
        </w:rPr>
        <w:t xml:space="preserve"> </w:t>
      </w:r>
      <w:r>
        <w:rPr>
          <w:rFonts w:ascii="Arial" w:cs="Arial" w:eastAsia="Arial" w:hAnsi="Arial"/>
          <w:sz w:val="18"/>
          <w:szCs w:val="18"/>
          <w:b w:val="1"/>
          <w:bCs w:val="1"/>
          <w:color w:val="auto"/>
        </w:rPr>
        <w:t>Meloy, and Paul W. Chung</w:t>
      </w:r>
      <w:r>
        <w:rPr>
          <w:rFonts w:ascii="Arial" w:cs="Arial" w:eastAsia="Arial" w:hAnsi="Arial"/>
          <w:sz w:val="18"/>
          <w:szCs w:val="18"/>
          <w:color w:val="auto"/>
        </w:rPr>
        <w:t>, or either of them signing singly, and with full power of substitution, the undersigned’s true and lawful</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attorney-in-fact to:</w:t>
      </w:r>
    </w:p>
    <w:p>
      <w:pPr>
        <w:spacing w:after="0" w:line="153" w:lineRule="exact"/>
        <w:rPr>
          <w:sz w:val="20"/>
          <w:szCs w:val="20"/>
          <w:color w:val="auto"/>
        </w:rPr>
      </w:pPr>
    </w:p>
    <w:p>
      <w:pPr>
        <w:ind w:left="388" w:right="299" w:hanging="388"/>
        <w:spacing w:after="0" w:line="257" w:lineRule="auto"/>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and the rules thereunder, (b) Form 144 and (c) Schedules 13D and 13G (including amendments thereto) in accordance with Sections 13(d) and 13(g) of the Securities Exchange Act of 1934 and the rules thereunder, but only to the extent each such form or schedule relates to the undersigned’s beneficial ownership of securities of Targa Resources Corp. or any of its subsidiaries;</w:t>
      </w:r>
    </w:p>
    <w:p>
      <w:pPr>
        <w:spacing w:after="0" w:line="147" w:lineRule="exact"/>
        <w:rPr>
          <w:rFonts w:ascii="Arial" w:cs="Arial" w:eastAsia="Arial" w:hAnsi="Arial"/>
          <w:sz w:val="18"/>
          <w:szCs w:val="18"/>
          <w:color w:val="auto"/>
        </w:rPr>
      </w:pPr>
    </w:p>
    <w:p>
      <w:pPr>
        <w:ind w:left="388" w:right="259" w:hanging="388"/>
        <w:spacing w:after="0" w:line="302" w:lineRule="auto"/>
        <w:tabs>
          <w:tab w:leader="none" w:pos="388"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self-regulatory association or any other authority, and provide a copy as required by law or advisable to such persons as the attorney-in-fact deems appropriate; and</w:t>
      </w:r>
    </w:p>
    <w:p>
      <w:pPr>
        <w:spacing w:after="0" w:line="113" w:lineRule="exact"/>
        <w:rPr>
          <w:rFonts w:ascii="Arial" w:cs="Arial" w:eastAsia="Arial" w:hAnsi="Arial"/>
          <w:sz w:val="16"/>
          <w:szCs w:val="16"/>
          <w:color w:val="auto"/>
        </w:rPr>
      </w:pPr>
    </w:p>
    <w:p>
      <w:pPr>
        <w:ind w:left="388" w:right="319" w:hanging="388"/>
        <w:spacing w:after="0" w:line="302" w:lineRule="auto"/>
        <w:tabs>
          <w:tab w:leader="none" w:pos="3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27" w:lineRule="exact"/>
        <w:rPr>
          <w:sz w:val="20"/>
          <w:szCs w:val="20"/>
          <w:color w:val="auto"/>
        </w:rPr>
      </w:pPr>
    </w:p>
    <w:p>
      <w:pPr>
        <w:ind w:left="8" w:right="319" w:firstLine="389"/>
        <w:spacing w:after="0" w:line="254"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substitutes or substitute,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Targa Resources Corp. assuming) any of the undersigned’s responsibilities to comply with Section 16 of the Securities Exchange Act of 1934.</w:t>
      </w:r>
    </w:p>
    <w:p>
      <w:pPr>
        <w:spacing w:after="0" w:line="152" w:lineRule="exact"/>
        <w:rPr>
          <w:sz w:val="20"/>
          <w:szCs w:val="20"/>
          <w:color w:val="auto"/>
        </w:rPr>
      </w:pPr>
    </w:p>
    <w:p>
      <w:pPr>
        <w:ind w:left="8" w:right="179" w:firstLine="389"/>
        <w:spacing w:after="0" w:line="290" w:lineRule="auto"/>
        <w:rPr>
          <w:sz w:val="20"/>
          <w:szCs w:val="20"/>
          <w:color w:val="auto"/>
        </w:rPr>
      </w:pPr>
      <w:r>
        <w:rPr>
          <w:rFonts w:ascii="Arial" w:cs="Arial" w:eastAsia="Arial" w:hAnsi="Arial"/>
          <w:sz w:val="16"/>
          <w:szCs w:val="16"/>
          <w:color w:val="auto"/>
        </w:rPr>
        <w:t>The undersigned agrees that each such attorney-in-fact may rely entirely on information furnished orally or in writing by or at the direction of the undersigned to the attorney-in-fact. The undersigned also agrees to indemnify and hold harmless Targa Resources Corp.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attorney-in-fact for purposes of executing, acknowledging, delivering or filing Forms 3, 4 or 5, Form 144 or Schedule 13D or 13G (including amendments thereto) and agrees to reimburse Targa Resources Corp. and such attorney-in-fact on demand for any legal or other expenses reasonably incurred in connection with investigating or defending against any such loss, claim, damage, liability or action.</w:t>
      </w:r>
    </w:p>
    <w:p>
      <w:pPr>
        <w:spacing w:after="0" w:line="126" w:lineRule="exact"/>
        <w:rPr>
          <w:sz w:val="20"/>
          <w:szCs w:val="20"/>
          <w:color w:val="auto"/>
        </w:rPr>
      </w:pPr>
    </w:p>
    <w:p>
      <w:pPr>
        <w:jc w:val="both"/>
        <w:ind w:left="8" w:right="239" w:firstLine="389"/>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Targa Resources Corp., unless earlier revoked by the undersigned in a signed writing delivered to the foregoing attorneys-in-fact. This Power of Attorney revokes all other powers of attorney that the undersigned has previously granted concerning the matters described herein.</w:t>
      </w:r>
    </w:p>
    <w:p>
      <w:pPr>
        <w:spacing w:after="0" w:line="161" w:lineRule="exact"/>
        <w:rPr>
          <w:sz w:val="20"/>
          <w:szCs w:val="20"/>
          <w:color w:val="auto"/>
        </w:rPr>
      </w:pPr>
    </w:p>
    <w:p>
      <w:pPr>
        <w:ind w:left="388"/>
        <w:spacing w:after="0"/>
        <w:rPr>
          <w:sz w:val="20"/>
          <w:szCs w:val="20"/>
          <w:color w:val="auto"/>
        </w:rPr>
      </w:pPr>
      <w:r>
        <w:rPr>
          <w:rFonts w:ascii="Arial" w:cs="Arial" w:eastAsia="Arial" w:hAnsi="Arial"/>
          <w:sz w:val="17"/>
          <w:szCs w:val="17"/>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Chris Tong</w:t>
      </w:r>
    </w:p>
    <w:p>
      <w:pPr>
        <w:spacing w:after="0" w:line="2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Chris Tong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-130810</wp:posOffset>
            </wp:positionV>
            <wp:extent cx="2280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4"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November 23, 2010</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91413" TargetMode="External"/><Relationship Id="rId12" Type="http://schemas.openxmlformats.org/officeDocument/2006/relationships/hyperlink" Target="http://www.sec.gov/cgi-bin/browse-edgar?action=getcompany&amp;CIK=0001389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2019-12-18T01:38:55Z</dcterms:created>
  <dcterms:modified xsi:type="dcterms:W3CDTF">2019-12-18T01:38:55Z</dcterms:modified>
</cp:coreProperties>
</file>