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136525</wp:posOffset>
            </wp:positionH>
            <wp:positionV relativeFrom="page">
              <wp:posOffset>196215</wp:posOffset>
            </wp:positionV>
            <wp:extent cx="728789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895" cy="5715"/>
                    </a:xfrm>
                    <a:prstGeom prst="rect">
                      <a:avLst/>
                    </a:prstGeom>
                    <a:noFill/>
                  </pic:spPr>
                </pic:pic>
              </a:graphicData>
            </a:graphic>
          </wp:anchor>
        </w:drawing>
        <w:drawing>
          <wp:anchor simplePos="0" relativeHeight="251657728" behindDoc="1" locked="0" layoutInCell="0" allowOverlap="1">
            <wp:simplePos x="0" y="0"/>
            <wp:positionH relativeFrom="page">
              <wp:posOffset>136525</wp:posOffset>
            </wp:positionH>
            <wp:positionV relativeFrom="page">
              <wp:posOffset>208280</wp:posOffset>
            </wp:positionV>
            <wp:extent cx="728789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895" cy="5715"/>
                    </a:xfrm>
                    <a:prstGeom prst="rect">
                      <a:avLst/>
                    </a:prstGeom>
                    <a:noFill/>
                  </pic:spPr>
                </pic:pic>
              </a:graphicData>
            </a:graphic>
          </wp:anchor>
        </w:drawing>
        <w:t>UNITED STATES</w:t>
      </w:r>
    </w:p>
    <w:p>
      <w:pPr>
        <w:spacing w:after="0" w:line="6" w:lineRule="exact"/>
        <w:rPr>
          <w:sz w:val="24"/>
          <w:szCs w:val="24"/>
          <w:color w:val="auto"/>
        </w:rPr>
      </w:pPr>
    </w:p>
    <w:p>
      <w:pPr>
        <w:jc w:val="center"/>
        <w:ind w:right="-4"/>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4"/>
        <w:spacing w:after="0"/>
        <w:rPr>
          <w:sz w:val="20"/>
          <w:szCs w:val="20"/>
          <w:color w:val="auto"/>
        </w:rPr>
      </w:pPr>
      <w:r>
        <w:rPr>
          <w:rFonts w:ascii="Arial" w:cs="Arial" w:eastAsia="Arial" w:hAnsi="Arial"/>
          <w:sz w:val="15"/>
          <w:szCs w:val="15"/>
          <w:b w:val="1"/>
          <w:bCs w:val="1"/>
          <w:color w:val="auto"/>
        </w:rPr>
        <w:t>Washington, D.C. 20549</w:t>
      </w:r>
    </w:p>
    <w:p>
      <w:pPr>
        <w:spacing w:after="0" w:line="58"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FORM 10-Q</w:t>
      </w:r>
    </w:p>
    <w:p>
      <w:pPr>
        <w:ind w:left="525" w:hanging="525"/>
        <w:spacing w:after="0" w:line="192" w:lineRule="auto"/>
        <w:tabs>
          <w:tab w:leader="none" w:pos="525" w:val="left"/>
        </w:tabs>
        <w:numPr>
          <w:ilvl w:val="0"/>
          <w:numId w:val="1"/>
        </w:numPr>
        <w:rPr>
          <w:rFonts w:ascii="MS PGothic" w:cs="MS PGothic" w:eastAsia="MS PGothic" w:hAnsi="MS PGothic"/>
          <w:sz w:val="30"/>
          <w:szCs w:val="30"/>
          <w:color w:val="auto"/>
          <w:highlight w:val="black"/>
          <w:vertAlign w:val="subscript"/>
        </w:rPr>
      </w:pPr>
      <w:r>
        <w:rPr>
          <w:rFonts w:ascii="Arial" w:cs="Arial" w:eastAsia="Arial" w:hAnsi="Arial"/>
          <w:sz w:val="13"/>
          <w:szCs w:val="13"/>
          <w:b w:val="1"/>
          <w:bCs w:val="1"/>
          <w:color w:val="auto"/>
        </w:rPr>
        <w:t>QUARTERLY REPORT PURSUANT TO SECTION 13 OR 15(d) OF THE SECURITIES EXCHANGE ACT OF 1934</w:t>
      </w:r>
    </w:p>
    <w:p>
      <w:pPr>
        <w:spacing w:after="0" w:line="93" w:lineRule="exact"/>
        <w:rPr>
          <w:sz w:val="24"/>
          <w:szCs w:val="24"/>
          <w:color w:val="auto"/>
        </w:rPr>
      </w:pPr>
    </w:p>
    <w:p>
      <w:pPr>
        <w:jc w:val="center"/>
        <w:ind w:right="-4"/>
        <w:spacing w:after="0"/>
        <w:rPr>
          <w:sz w:val="20"/>
          <w:szCs w:val="20"/>
          <w:color w:val="auto"/>
        </w:rPr>
      </w:pPr>
      <w:r>
        <w:rPr>
          <w:rFonts w:ascii="Arial" w:cs="Arial" w:eastAsia="Arial" w:hAnsi="Arial"/>
          <w:sz w:val="13"/>
          <w:szCs w:val="13"/>
          <w:b w:val="1"/>
          <w:bCs w:val="1"/>
          <w:color w:val="auto"/>
        </w:rPr>
        <w:t>For the quarterly period ended March 31, 2019</w:t>
      </w:r>
    </w:p>
    <w:p>
      <w:pPr>
        <w:spacing w:after="0" w:line="12" w:lineRule="exact"/>
        <w:rPr>
          <w:sz w:val="24"/>
          <w:szCs w:val="24"/>
          <w:color w:val="auto"/>
        </w:rPr>
      </w:pPr>
    </w:p>
    <w:p>
      <w:pPr>
        <w:jc w:val="center"/>
        <w:ind w:right="-4"/>
        <w:spacing w:after="0"/>
        <w:rPr>
          <w:sz w:val="20"/>
          <w:szCs w:val="20"/>
          <w:color w:val="auto"/>
        </w:rPr>
      </w:pPr>
      <w:r>
        <w:rPr>
          <w:rFonts w:ascii="Arial" w:cs="Arial" w:eastAsia="Arial" w:hAnsi="Arial"/>
          <w:sz w:val="13"/>
          <w:szCs w:val="13"/>
          <w:b w:val="1"/>
          <w:bCs w:val="1"/>
          <w:color w:val="auto"/>
        </w:rPr>
        <w:t>or</w:t>
      </w:r>
    </w:p>
    <w:p>
      <w:pPr>
        <w:ind w:left="525" w:hanging="525"/>
        <w:spacing w:after="0" w:line="181" w:lineRule="auto"/>
        <w:tabs>
          <w:tab w:leader="none" w:pos="525" w:val="left"/>
        </w:tabs>
        <w:numPr>
          <w:ilvl w:val="0"/>
          <w:numId w:val="2"/>
        </w:numPr>
        <w:rPr>
          <w:rFonts w:ascii="MS PGothic" w:cs="MS PGothic" w:eastAsia="MS PGothic" w:hAnsi="MS PGothic"/>
          <w:sz w:val="20"/>
          <w:szCs w:val="20"/>
          <w:color w:val="auto"/>
          <w:highlight w:val="black"/>
          <w:vertAlign w:val="subscript"/>
        </w:rPr>
      </w:pPr>
      <w:r>
        <w:rPr>
          <w:rFonts w:ascii="Arial" w:cs="Arial" w:eastAsia="Arial" w:hAnsi="Arial"/>
          <w:sz w:val="10"/>
          <w:szCs w:val="10"/>
          <w:b w:val="1"/>
          <w:bCs w:val="1"/>
          <w:color w:val="auto"/>
        </w:rPr>
        <w:t>TRANSITION REPORT PURSUANT TO SECTION 13 OR 15(d) OF THE SECURITIES EXCHANGE ACT OF 1934</w:t>
      </w:r>
    </w:p>
    <w:p>
      <w:pPr>
        <w:spacing w:after="0" w:line="93" w:lineRule="exact"/>
        <w:rPr>
          <w:sz w:val="24"/>
          <w:szCs w:val="24"/>
          <w:color w:val="auto"/>
        </w:rPr>
      </w:pPr>
    </w:p>
    <w:p>
      <w:pPr>
        <w:ind w:left="4525"/>
        <w:spacing w:after="0"/>
        <w:tabs>
          <w:tab w:leader="none" w:pos="6484"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1"/>
          <w:szCs w:val="11"/>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3916680</wp:posOffset>
            </wp:positionH>
            <wp:positionV relativeFrom="paragraph">
              <wp:posOffset>-8255</wp:posOffset>
            </wp:positionV>
            <wp:extent cx="5041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190" cy="5715"/>
                    </a:xfrm>
                    <a:prstGeom prst="rect">
                      <a:avLst/>
                    </a:prstGeom>
                    <a:noFill/>
                  </pic:spPr>
                </pic:pic>
              </a:graphicData>
            </a:graphic>
          </wp:anchor>
        </w:drawing>
      </w:r>
    </w:p>
    <w:p>
      <w:pPr>
        <w:spacing w:after="0" w:line="56" w:lineRule="exact"/>
        <w:rPr>
          <w:sz w:val="24"/>
          <w:szCs w:val="24"/>
          <w:color w:val="auto"/>
        </w:rPr>
      </w:pPr>
    </w:p>
    <w:p>
      <w:pPr>
        <w:jc w:val="center"/>
        <w:ind w:right="-4"/>
        <w:spacing w:after="0"/>
        <w:rPr>
          <w:sz w:val="20"/>
          <w:szCs w:val="20"/>
          <w:color w:val="auto"/>
        </w:rPr>
      </w:pPr>
      <w:r>
        <w:rPr>
          <w:rFonts w:ascii="Arial" w:cs="Arial" w:eastAsia="Arial" w:hAnsi="Arial"/>
          <w:sz w:val="13"/>
          <w:szCs w:val="13"/>
          <w:b w:val="1"/>
          <w:bCs w:val="1"/>
          <w:color w:val="auto"/>
        </w:rPr>
        <w:t>Commission File Number: 001-33303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3136265</wp:posOffset>
            </wp:positionH>
            <wp:positionV relativeFrom="paragraph">
              <wp:posOffset>8890</wp:posOffset>
            </wp:positionV>
            <wp:extent cx="1015365" cy="340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5365" cy="34036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TARGA RESOURCES PARTNERS LP</w:t>
      </w:r>
    </w:p>
    <w:p>
      <w:pPr>
        <w:spacing w:after="0" w:line="21" w:lineRule="exact"/>
        <w:rPr>
          <w:sz w:val="24"/>
          <w:szCs w:val="24"/>
          <w:color w:val="auto"/>
        </w:rPr>
      </w:pPr>
    </w:p>
    <w:p>
      <w:pPr>
        <w:jc w:val="center"/>
        <w:ind w:right="-4"/>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73" w:lineRule="exact"/>
        <w:rPr>
          <w:sz w:val="24"/>
          <w:szCs w:val="24"/>
          <w:color w:val="auto"/>
        </w:rPr>
      </w:pPr>
    </w:p>
    <w:tbl>
      <w:tblPr>
        <w:tblLayout w:type="fixed"/>
        <w:tblInd w:w="1485" w:type="dxa"/>
        <w:tblCellMar>
          <w:top w:w="0" w:type="dxa"/>
          <w:left w:w="0" w:type="dxa"/>
          <w:bottom w:w="0" w:type="dxa"/>
          <w:right w:w="0" w:type="dxa"/>
        </w:tblCellMar>
      </w:tblPr>
      <w:tr>
        <w:trPr>
          <w:trHeight w:val="149"/>
        </w:trPr>
        <w:tc>
          <w:tcPr>
            <w:tcW w:w="2720" w:type="dxa"/>
            <w:vAlign w:val="bottom"/>
          </w:tcPr>
          <w:p>
            <w:pPr>
              <w:jc w:val="center"/>
              <w:ind w:right="84"/>
              <w:spacing w:after="0"/>
              <w:rPr>
                <w:sz w:val="20"/>
                <w:szCs w:val="20"/>
                <w:color w:val="auto"/>
              </w:rPr>
            </w:pPr>
            <w:r>
              <w:rPr>
                <w:rFonts w:ascii="Arial" w:cs="Arial" w:eastAsia="Arial" w:hAnsi="Arial"/>
                <w:sz w:val="13"/>
                <w:szCs w:val="13"/>
                <w:b w:val="1"/>
                <w:bCs w:val="1"/>
                <w:color w:val="auto"/>
                <w:w w:val="87"/>
              </w:rPr>
              <w:t>Delaware</w:t>
            </w:r>
          </w:p>
        </w:tc>
        <w:tc>
          <w:tcPr>
            <w:tcW w:w="5260" w:type="dxa"/>
            <w:vAlign w:val="bottom"/>
          </w:tcPr>
          <w:p>
            <w:pPr>
              <w:jc w:val="right"/>
              <w:ind w:right="401"/>
              <w:spacing w:after="0"/>
              <w:rPr>
                <w:sz w:val="20"/>
                <w:szCs w:val="20"/>
                <w:color w:val="auto"/>
              </w:rPr>
            </w:pPr>
            <w:r>
              <w:rPr>
                <w:rFonts w:ascii="Arial" w:cs="Arial" w:eastAsia="Arial" w:hAnsi="Arial"/>
                <w:sz w:val="13"/>
                <w:szCs w:val="13"/>
                <w:b w:val="1"/>
                <w:bCs w:val="1"/>
                <w:color w:val="auto"/>
              </w:rPr>
              <w:t>65-1295427</w:t>
            </w:r>
          </w:p>
        </w:tc>
      </w:tr>
      <w:tr>
        <w:trPr>
          <w:trHeight w:val="129"/>
        </w:trPr>
        <w:tc>
          <w:tcPr>
            <w:tcW w:w="2720" w:type="dxa"/>
            <w:vAlign w:val="bottom"/>
          </w:tcPr>
          <w:p>
            <w:pPr>
              <w:jc w:val="center"/>
              <w:ind w:right="84"/>
              <w:spacing w:after="0"/>
              <w:rPr>
                <w:sz w:val="20"/>
                <w:szCs w:val="20"/>
                <w:color w:val="auto"/>
              </w:rPr>
            </w:pPr>
            <w:r>
              <w:rPr>
                <w:rFonts w:ascii="Arial" w:cs="Arial" w:eastAsia="Arial" w:hAnsi="Arial"/>
                <w:sz w:val="10"/>
                <w:szCs w:val="10"/>
                <w:b w:val="1"/>
                <w:bCs w:val="1"/>
                <w:color w:val="auto"/>
                <w:w w:val="91"/>
              </w:rPr>
              <w:t>(State or other jurisdiction of incorporation or organization)</w:t>
            </w:r>
          </w:p>
        </w:tc>
        <w:tc>
          <w:tcPr>
            <w:tcW w:w="5260" w:type="dxa"/>
            <w:vAlign w:val="bottom"/>
          </w:tcPr>
          <w:p>
            <w:pPr>
              <w:jc w:val="center"/>
              <w:ind w:left="3681"/>
              <w:spacing w:after="0"/>
              <w:rPr>
                <w:sz w:val="20"/>
                <w:szCs w:val="20"/>
                <w:color w:val="auto"/>
              </w:rPr>
            </w:pPr>
            <w:r>
              <w:rPr>
                <w:rFonts w:ascii="Arial" w:cs="Arial" w:eastAsia="Arial" w:hAnsi="Arial"/>
                <w:sz w:val="10"/>
                <w:szCs w:val="10"/>
                <w:b w:val="1"/>
                <w:bCs w:val="1"/>
                <w:color w:val="auto"/>
                <w:w w:val="92"/>
              </w:rPr>
              <w:t>(I.R.S. Employer Identification No.)</w:t>
            </w:r>
          </w:p>
        </w:tc>
      </w:tr>
      <w:tr>
        <w:trPr>
          <w:trHeight w:val="228"/>
        </w:trPr>
        <w:tc>
          <w:tcPr>
            <w:tcW w:w="2720" w:type="dxa"/>
            <w:vAlign w:val="bottom"/>
          </w:tcPr>
          <w:p>
            <w:pPr>
              <w:jc w:val="center"/>
              <w:ind w:right="84"/>
              <w:spacing w:after="0"/>
              <w:rPr>
                <w:sz w:val="20"/>
                <w:szCs w:val="20"/>
                <w:color w:val="auto"/>
              </w:rPr>
            </w:pPr>
            <w:r>
              <w:rPr>
                <w:rFonts w:ascii="Arial" w:cs="Arial" w:eastAsia="Arial" w:hAnsi="Arial"/>
                <w:sz w:val="13"/>
                <w:szCs w:val="13"/>
                <w:b w:val="1"/>
                <w:bCs w:val="1"/>
                <w:color w:val="auto"/>
                <w:w w:val="85"/>
              </w:rPr>
              <w:t>811 Louisiana St, Suite 2100, Houston, Texas</w:t>
            </w:r>
          </w:p>
        </w:tc>
        <w:tc>
          <w:tcPr>
            <w:tcW w:w="5260" w:type="dxa"/>
            <w:vAlign w:val="bottom"/>
          </w:tcPr>
          <w:p>
            <w:pPr>
              <w:jc w:val="right"/>
              <w:ind w:right="541"/>
              <w:spacing w:after="0"/>
              <w:rPr>
                <w:sz w:val="20"/>
                <w:szCs w:val="20"/>
                <w:color w:val="auto"/>
              </w:rPr>
            </w:pPr>
            <w:r>
              <w:rPr>
                <w:rFonts w:ascii="Arial" w:cs="Arial" w:eastAsia="Arial" w:hAnsi="Arial"/>
                <w:sz w:val="13"/>
                <w:szCs w:val="13"/>
                <w:b w:val="1"/>
                <w:bCs w:val="1"/>
                <w:color w:val="auto"/>
              </w:rPr>
              <w:t>77002</w:t>
            </w:r>
          </w:p>
        </w:tc>
      </w:tr>
      <w:tr>
        <w:trPr>
          <w:trHeight w:val="129"/>
        </w:trPr>
        <w:tc>
          <w:tcPr>
            <w:tcW w:w="2720" w:type="dxa"/>
            <w:vAlign w:val="bottom"/>
          </w:tcPr>
          <w:p>
            <w:pPr>
              <w:jc w:val="center"/>
              <w:ind w:right="84"/>
              <w:spacing w:after="0"/>
              <w:rPr>
                <w:sz w:val="20"/>
                <w:szCs w:val="20"/>
                <w:color w:val="auto"/>
              </w:rPr>
            </w:pPr>
            <w:r>
              <w:rPr>
                <w:rFonts w:ascii="Arial" w:cs="Arial" w:eastAsia="Arial" w:hAnsi="Arial"/>
                <w:sz w:val="10"/>
                <w:szCs w:val="10"/>
                <w:b w:val="1"/>
                <w:bCs w:val="1"/>
                <w:color w:val="auto"/>
                <w:w w:val="88"/>
              </w:rPr>
              <w:t>(Address of principal executive offices)</w:t>
            </w:r>
          </w:p>
        </w:tc>
        <w:tc>
          <w:tcPr>
            <w:tcW w:w="5260" w:type="dxa"/>
            <w:vAlign w:val="bottom"/>
          </w:tcPr>
          <w:p>
            <w:pPr>
              <w:jc w:val="center"/>
              <w:ind w:left="3681"/>
              <w:spacing w:after="0"/>
              <w:rPr>
                <w:sz w:val="20"/>
                <w:szCs w:val="20"/>
                <w:color w:val="auto"/>
              </w:rPr>
            </w:pPr>
            <w:r>
              <w:rPr>
                <w:rFonts w:ascii="Arial" w:cs="Arial" w:eastAsia="Arial" w:hAnsi="Arial"/>
                <w:sz w:val="10"/>
                <w:szCs w:val="10"/>
                <w:b w:val="1"/>
                <w:bCs w:val="1"/>
                <w:color w:val="auto"/>
                <w:w w:val="96"/>
              </w:rPr>
              <w:t>(Zip Code)</w:t>
            </w:r>
          </w:p>
        </w:tc>
      </w:tr>
      <w:tr>
        <w:trPr>
          <w:trHeight w:val="211"/>
        </w:trPr>
        <w:tc>
          <w:tcPr>
            <w:tcW w:w="2720" w:type="dxa"/>
            <w:vAlign w:val="bottom"/>
          </w:tcPr>
          <w:p>
            <w:pPr>
              <w:spacing w:after="0"/>
              <w:rPr>
                <w:sz w:val="18"/>
                <w:szCs w:val="18"/>
                <w:color w:val="auto"/>
              </w:rPr>
            </w:pPr>
          </w:p>
        </w:tc>
        <w:tc>
          <w:tcPr>
            <w:tcW w:w="5260" w:type="dxa"/>
            <w:vAlign w:val="bottom"/>
          </w:tcPr>
          <w:p>
            <w:pPr>
              <w:jc w:val="right"/>
              <w:ind w:right="3281"/>
              <w:spacing w:after="0"/>
              <w:rPr>
                <w:sz w:val="20"/>
                <w:szCs w:val="20"/>
                <w:color w:val="auto"/>
              </w:rPr>
            </w:pPr>
            <w:r>
              <w:rPr>
                <w:rFonts w:ascii="Arial" w:cs="Arial" w:eastAsia="Arial" w:hAnsi="Arial"/>
                <w:sz w:val="13"/>
                <w:szCs w:val="13"/>
                <w:b w:val="1"/>
                <w:bCs w:val="1"/>
                <w:color w:val="auto"/>
              </w:rPr>
              <w:t>(713) 584-1000</w:t>
            </w:r>
          </w:p>
        </w:tc>
      </w:tr>
      <w:tr>
        <w:trPr>
          <w:trHeight w:val="162"/>
        </w:trPr>
        <w:tc>
          <w:tcPr>
            <w:tcW w:w="2720" w:type="dxa"/>
            <w:vAlign w:val="bottom"/>
          </w:tcPr>
          <w:p>
            <w:pPr>
              <w:spacing w:after="0"/>
              <w:rPr>
                <w:sz w:val="14"/>
                <w:szCs w:val="14"/>
                <w:color w:val="auto"/>
              </w:rPr>
            </w:pPr>
          </w:p>
        </w:tc>
        <w:tc>
          <w:tcPr>
            <w:tcW w:w="5260" w:type="dxa"/>
            <w:vAlign w:val="bottom"/>
          </w:tcPr>
          <w:p>
            <w:pPr>
              <w:jc w:val="center"/>
              <w:ind w:right="2141"/>
              <w:spacing w:after="0"/>
              <w:rPr>
                <w:sz w:val="20"/>
                <w:szCs w:val="20"/>
                <w:color w:val="auto"/>
              </w:rPr>
            </w:pPr>
            <w:r>
              <w:rPr>
                <w:rFonts w:ascii="Arial" w:cs="Arial" w:eastAsia="Arial" w:hAnsi="Arial"/>
                <w:sz w:val="13"/>
                <w:szCs w:val="13"/>
                <w:b w:val="1"/>
                <w:bCs w:val="1"/>
                <w:color w:val="auto"/>
                <w:w w:val="85"/>
              </w:rPr>
              <w:t>(Registrant’s telephone number, including area code)</w:t>
            </w:r>
          </w:p>
        </w:tc>
      </w:tr>
    </w:tbl>
    <w:p>
      <w:pPr>
        <w:spacing w:after="0" w:line="68" w:lineRule="exact"/>
        <w:rPr>
          <w:sz w:val="24"/>
          <w:szCs w:val="24"/>
          <w:color w:val="auto"/>
        </w:rPr>
      </w:pPr>
    </w:p>
    <w:p>
      <w:pPr>
        <w:ind w:left="5"/>
        <w:spacing w:after="0" w:line="16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ind w:left="5"/>
        <w:spacing w:after="0" w:line="16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ind w:left="5"/>
        <w:spacing w:after="0" w:line="25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5" w:type="dxa"/>
        <w:tblCellMar>
          <w:top w:w="0" w:type="dxa"/>
          <w:left w:w="0" w:type="dxa"/>
          <w:bottom w:w="0" w:type="dxa"/>
          <w:right w:w="0" w:type="dxa"/>
        </w:tblCellMar>
      </w:tblPr>
      <w:tr>
        <w:trPr>
          <w:trHeight w:val="160"/>
        </w:trPr>
        <w:tc>
          <w:tcPr>
            <w:tcW w:w="18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0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4940" w:type="dxa"/>
            <w:vAlign w:val="bottom"/>
          </w:tcPr>
          <w:p>
            <w:pPr>
              <w:ind w:left="2980"/>
              <w:spacing w:after="0"/>
              <w:rPr>
                <w:sz w:val="20"/>
                <w:szCs w:val="20"/>
                <w:color w:val="auto"/>
              </w:rPr>
            </w:pPr>
            <w:r>
              <w:rPr>
                <w:rFonts w:ascii="Arial" w:cs="Arial" w:eastAsia="Arial" w:hAnsi="Arial"/>
                <w:sz w:val="13"/>
                <w:szCs w:val="13"/>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9"/>
        </w:trPr>
        <w:tc>
          <w:tcPr>
            <w:tcW w:w="1840" w:type="dxa"/>
            <w:vAlign w:val="bottom"/>
          </w:tcPr>
          <w:p>
            <w:pPr>
              <w:spacing w:after="0"/>
              <w:rPr>
                <w:sz w:val="20"/>
                <w:szCs w:val="20"/>
                <w:color w:val="auto"/>
              </w:rPr>
            </w:pPr>
            <w:r>
              <w:rPr>
                <w:rFonts w:ascii="Arial" w:cs="Arial" w:eastAsia="Arial" w:hAnsi="Arial"/>
                <w:sz w:val="13"/>
                <w:szCs w:val="13"/>
                <w:color w:val="auto"/>
              </w:rPr>
              <w:t>Non-accelerated filer</w:t>
            </w:r>
          </w:p>
        </w:tc>
        <w:tc>
          <w:tcPr>
            <w:tcW w:w="380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4940" w:type="dxa"/>
            <w:vAlign w:val="bottom"/>
          </w:tcPr>
          <w:p>
            <w:pPr>
              <w:ind w:left="2980"/>
              <w:spacing w:after="0"/>
              <w:rPr>
                <w:sz w:val="20"/>
                <w:szCs w:val="20"/>
                <w:color w:val="auto"/>
              </w:rPr>
            </w:pPr>
            <w:r>
              <w:rPr>
                <w:rFonts w:ascii="Arial" w:cs="Arial" w:eastAsia="Arial" w:hAnsi="Arial"/>
                <w:sz w:val="13"/>
                <w:szCs w:val="13"/>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4"/>
        </w:trPr>
        <w:tc>
          <w:tcPr>
            <w:tcW w:w="18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940" w:type="dxa"/>
            <w:vAlign w:val="bottom"/>
          </w:tcPr>
          <w:p>
            <w:pPr>
              <w:ind w:left="2980"/>
              <w:spacing w:after="0"/>
              <w:rPr>
                <w:sz w:val="20"/>
                <w:szCs w:val="20"/>
                <w:color w:val="auto"/>
              </w:rPr>
            </w:pPr>
            <w:r>
              <w:rPr>
                <w:rFonts w:ascii="Arial" w:cs="Arial" w:eastAsia="Arial" w:hAnsi="Arial"/>
                <w:sz w:val="13"/>
                <w:szCs w:val="13"/>
                <w:color w:val="auto"/>
              </w:rPr>
              <w:t>Emerging growth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3" w:lineRule="exact"/>
        <w:rPr>
          <w:sz w:val="24"/>
          <w:szCs w:val="24"/>
          <w:color w:val="auto"/>
        </w:rPr>
      </w:pPr>
    </w:p>
    <w:p>
      <w:pPr>
        <w:ind w:left="5"/>
        <w:spacing w:after="0" w:line="16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ind w:left="5"/>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99" w:lineRule="exact"/>
        <w:rPr>
          <w:sz w:val="24"/>
          <w:szCs w:val="24"/>
          <w:color w:val="auto"/>
        </w:rPr>
      </w:pPr>
    </w:p>
    <w:p>
      <w:pPr>
        <w:ind w:left="5"/>
        <w:spacing w:after="0"/>
        <w:rPr>
          <w:sz w:val="20"/>
          <w:szCs w:val="20"/>
          <w:color w:val="auto"/>
        </w:rPr>
      </w:pPr>
      <w:r>
        <w:rPr>
          <w:rFonts w:ascii="Arial" w:cs="Arial" w:eastAsia="Arial" w:hAnsi="Arial"/>
          <w:sz w:val="13"/>
          <w:szCs w:val="13"/>
          <w:color w:val="auto"/>
        </w:rPr>
        <w:t>Securities registered pursuant to Section 12(b) of the Act:</w:t>
      </w:r>
    </w:p>
    <w:p>
      <w:pPr>
        <w:sectPr>
          <w:pgSz w:w="11900" w:h="16838" w:orient="portrait"/>
          <w:cols w:equalWidth="0" w:num="1">
            <w:col w:w="11465"/>
          </w:cols>
          <w:pgMar w:left="215" w:top="383" w:right="219" w:bottom="1440" w:gutter="0" w:footer="0" w:header="0"/>
        </w:sectPr>
      </w:pPr>
    </w:p>
    <w:p>
      <w:pPr>
        <w:spacing w:after="0" w:line="82" w:lineRule="exact"/>
        <w:rPr>
          <w:sz w:val="24"/>
          <w:szCs w:val="24"/>
          <w:color w:val="auto"/>
        </w:rPr>
      </w:pPr>
    </w:p>
    <w:p>
      <w:pPr>
        <w:ind w:left="1505"/>
        <w:spacing w:after="0"/>
        <w:rPr>
          <w:sz w:val="20"/>
          <w:szCs w:val="20"/>
          <w:color w:val="auto"/>
        </w:rPr>
      </w:pPr>
      <w:r>
        <w:rPr>
          <w:rFonts w:ascii="Arial" w:cs="Arial" w:eastAsia="Arial" w:hAnsi="Arial"/>
          <w:sz w:val="10"/>
          <w:szCs w:val="10"/>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Trading Symbol(s)</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Name of exchange on which registered</w:t>
      </w:r>
    </w:p>
    <w:p>
      <w:pPr>
        <w:spacing w:after="0" w:line="35" w:lineRule="exact"/>
        <w:rPr>
          <w:sz w:val="24"/>
          <w:szCs w:val="24"/>
          <w:color w:val="auto"/>
        </w:rPr>
      </w:pPr>
    </w:p>
    <w:p>
      <w:pPr>
        <w:sectPr>
          <w:pgSz w:w="11900" w:h="16838" w:orient="portrait"/>
          <w:cols w:equalWidth="0" w:num="3">
            <w:col w:w="4365" w:space="720"/>
            <w:col w:w="2520" w:space="720"/>
            <w:col w:w="3140"/>
          </w:cols>
          <w:pgMar w:left="215" w:top="383" w:right="219" w:bottom="1440" w:gutter="0" w:footer="0" w:header="0"/>
          <w:type w:val="continuous"/>
        </w:sectPr>
      </w:pPr>
    </w:p>
    <w:p>
      <w:pPr>
        <w:ind w:left="105"/>
        <w:spacing w:after="0"/>
        <w:rPr>
          <w:sz w:val="20"/>
          <w:szCs w:val="20"/>
          <w:color w:val="auto"/>
        </w:rPr>
      </w:pPr>
      <w:r>
        <w:rPr>
          <w:rFonts w:ascii="Arial" w:cs="Arial" w:eastAsia="Arial" w:hAnsi="Arial"/>
          <w:sz w:val="10"/>
          <w:szCs w:val="10"/>
          <w:color w:val="auto"/>
        </w:rPr>
        <w:t>9.0% Series A Fixed-to-Floating Rate Cumulative Redeemable Perpetual Preferred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NGLS/PA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New York Stock Exchange</w:t>
      </w:r>
    </w:p>
    <w:p>
      <w:pPr>
        <w:spacing w:after="0" w:line="24" w:lineRule="exact"/>
        <w:rPr>
          <w:sz w:val="24"/>
          <w:szCs w:val="24"/>
          <w:color w:val="auto"/>
        </w:rPr>
      </w:pPr>
    </w:p>
    <w:p>
      <w:pPr>
        <w:sectPr>
          <w:pgSz w:w="11900" w:h="16838" w:orient="portrait"/>
          <w:cols w:equalWidth="0" w:num="3">
            <w:col w:w="4645" w:space="720"/>
            <w:col w:w="2660" w:space="720"/>
            <w:col w:w="2720"/>
          </w:cols>
          <w:pgMar w:left="215" w:top="383" w:right="219" w:bottom="1440" w:gutter="0" w:footer="0" w:header="0"/>
          <w:type w:val="continuous"/>
        </w:sectPr>
      </w:pPr>
    </w:p>
    <w:p>
      <w:pPr>
        <w:ind w:left="1845"/>
        <w:spacing w:after="0"/>
        <w:rPr>
          <w:sz w:val="20"/>
          <w:szCs w:val="20"/>
          <w:color w:val="auto"/>
        </w:rPr>
      </w:pPr>
      <w:r>
        <w:rPr>
          <w:rFonts w:ascii="Arial" w:cs="Arial" w:eastAsia="Arial" w:hAnsi="Arial"/>
          <w:sz w:val="10"/>
          <w:szCs w:val="10"/>
          <w:color w:val="auto"/>
        </w:rPr>
        <w:t>Units</w:t>
      </w:r>
    </w:p>
    <w:p>
      <w:pPr>
        <w:sectPr>
          <w:pgSz w:w="11900" w:h="16838" w:orient="portrait"/>
          <w:cols w:equalWidth="0" w:num="1">
            <w:col w:w="11465"/>
          </w:cols>
          <w:pgMar w:left="215" w:top="383" w:right="219" w:bottom="1440" w:gutter="0" w:footer="0" w:header="0"/>
          <w:type w:val="continuous"/>
        </w:sectPr>
      </w:pPr>
    </w:p>
    <w:p>
      <w:pPr>
        <w:spacing w:after="0" w:line="98" w:lineRule="exact"/>
        <w:rPr>
          <w:sz w:val="24"/>
          <w:szCs w:val="24"/>
          <w:color w:val="auto"/>
        </w:rPr>
      </w:pPr>
    </w:p>
    <w:p>
      <w:pPr>
        <w:ind w:left="5"/>
        <w:spacing w:after="0"/>
        <w:rPr>
          <w:sz w:val="20"/>
          <w:szCs w:val="20"/>
          <w:color w:val="auto"/>
        </w:rPr>
      </w:pPr>
      <w:r>
        <w:rPr>
          <w:rFonts w:ascii="Arial" w:cs="Arial" w:eastAsia="Arial" w:hAnsi="Arial"/>
          <w:sz w:val="10"/>
          <w:szCs w:val="10"/>
          <w:color w:val="auto"/>
        </w:rPr>
        <w:t>As of May 3, 2019, there were 5,000,000 9.0% Series A Fixed-to-Floating Rate Cumulative Redeemable Perpetual Preferred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8789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89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728789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7895"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426720</wp:posOffset>
            </wp:positionV>
            <wp:extent cx="7325360"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65"/>
          </w:cols>
          <w:pgMar w:left="215" w:top="383"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80" w:type="dxa"/>
            <w:vAlign w:val="bottom"/>
            <w:gridSpan w:val="9"/>
          </w:tcPr>
          <w:p>
            <w:pPr>
              <w:jc w:val="center"/>
              <w:ind w:right="2500"/>
              <w:spacing w:after="0"/>
              <w:rPr>
                <w:sz w:val="20"/>
                <w:szCs w:val="20"/>
                <w:color w:val="auto"/>
              </w:rPr>
            </w:pPr>
            <w:r>
              <w:rPr>
                <w:rFonts w:ascii="Arial" w:cs="Arial" w:eastAsia="Arial" w:hAnsi="Arial"/>
                <w:sz w:val="13"/>
                <w:szCs w:val="13"/>
                <w:b w:val="1"/>
                <w:bCs w:val="1"/>
                <w:color w:val="auto"/>
                <w:w w:val="95"/>
              </w:rPr>
              <w:t>TABLE OF CONTENTS</w:t>
            </w:r>
          </w:p>
        </w:tc>
        <w:tc>
          <w:tcPr>
            <w:tcW w:w="2560" w:type="dxa"/>
            <w:vAlign w:val="bottom"/>
          </w:tcPr>
          <w:p>
            <w:pPr>
              <w:spacing w:after="0"/>
              <w:rPr>
                <w:sz w:val="14"/>
                <w:szCs w:val="14"/>
                <w:color w:val="auto"/>
              </w:rPr>
            </w:pPr>
          </w:p>
        </w:tc>
      </w:tr>
      <w:tr>
        <w:trPr>
          <w:trHeight w:val="274"/>
        </w:trPr>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980" w:type="dxa"/>
            <w:vAlign w:val="bottom"/>
            <w:gridSpan w:val="11"/>
          </w:tcPr>
          <w:p>
            <w:pPr>
              <w:jc w:val="center"/>
              <w:ind w:right="1980"/>
              <w:spacing w:after="0"/>
              <w:rPr>
                <w:rFonts w:ascii="Arial" w:cs="Arial" w:eastAsia="Arial" w:hAnsi="Arial"/>
                <w:sz w:val="13"/>
                <w:szCs w:val="13"/>
                <w:b w:val="1"/>
                <w:bCs w:val="1"/>
                <w:color w:val="0000EE"/>
                <w:w w:val="99"/>
              </w:rPr>
            </w:pPr>
            <w:hyperlink w:anchor="page5">
              <w:r>
                <w:rPr>
                  <w:rFonts w:ascii="Arial" w:cs="Arial" w:eastAsia="Arial" w:hAnsi="Arial"/>
                  <w:sz w:val="13"/>
                  <w:szCs w:val="13"/>
                  <w:b w:val="1"/>
                  <w:bCs w:val="1"/>
                  <w:color w:val="0000EE"/>
                  <w:w w:val="99"/>
                </w:rPr>
                <w:t>PART I—FINANCIAL INFORMATION</w:t>
              </w:r>
            </w:hyperlink>
          </w:p>
        </w:tc>
        <w:tc>
          <w:tcPr>
            <w:tcW w:w="2560" w:type="dxa"/>
            <w:vAlign w:val="bottom"/>
          </w:tcPr>
          <w:p>
            <w:pPr>
              <w:spacing w:after="0"/>
              <w:rPr>
                <w:sz w:val="23"/>
                <w:szCs w:val="23"/>
                <w:color w:val="auto"/>
              </w:rPr>
            </w:pPr>
          </w:p>
        </w:tc>
      </w:tr>
      <w:tr>
        <w:trPr>
          <w:trHeight w:val="281"/>
        </w:trPr>
        <w:tc>
          <w:tcPr>
            <w:tcW w:w="1440" w:type="dxa"/>
            <w:vAlign w:val="bottom"/>
            <w:tcBorders>
              <w:bottom w:val="single" w:sz="8" w:color="0000EE"/>
            </w:tcBorders>
            <w:gridSpan w:val="7"/>
          </w:tcPr>
          <w:p>
            <w:pPr>
              <w:spacing w:after="0"/>
              <w:rPr>
                <w:rFonts w:ascii="Arial" w:cs="Arial" w:eastAsia="Arial" w:hAnsi="Arial"/>
                <w:sz w:val="13"/>
                <w:szCs w:val="13"/>
                <w:color w:val="0000EE"/>
                <w:w w:val="86"/>
              </w:rPr>
            </w:pPr>
            <w:hyperlink w:anchor="page5">
              <w:r>
                <w:rPr>
                  <w:rFonts w:ascii="Arial" w:cs="Arial" w:eastAsia="Arial" w:hAnsi="Arial"/>
                  <w:sz w:val="13"/>
                  <w:szCs w:val="13"/>
                  <w:color w:val="0000EE"/>
                  <w:w w:val="86"/>
                </w:rPr>
                <w:t>Item 1. Financial Statements</w:t>
              </w:r>
            </w:hyperlink>
          </w:p>
        </w:tc>
        <w:tc>
          <w:tcPr>
            <w:tcW w:w="2920" w:type="dxa"/>
            <w:vAlign w:val="bottom"/>
            <w:gridSpan w:val="7"/>
          </w:tcPr>
          <w:p>
            <w:pPr>
              <w:spacing w:after="0"/>
              <w:rPr>
                <w:sz w:val="24"/>
                <w:szCs w:val="24"/>
                <w:color w:val="auto"/>
              </w:rPr>
            </w:pPr>
          </w:p>
        </w:tc>
        <w:tc>
          <w:tcPr>
            <w:tcW w:w="2200" w:type="dxa"/>
            <w:vAlign w:val="bottom"/>
            <w:tcBorders>
              <w:top w:val="single" w:sz="8" w:color="0000EE"/>
            </w:tcBorders>
            <w:gridSpan w:val="9"/>
          </w:tcPr>
          <w:p>
            <w:pPr>
              <w:spacing w:after="0"/>
              <w:rPr>
                <w:sz w:val="24"/>
                <w:szCs w:val="24"/>
                <w:color w:val="auto"/>
              </w:rPr>
            </w:pPr>
          </w:p>
        </w:tc>
        <w:tc>
          <w:tcPr>
            <w:tcW w:w="238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81"/>
        </w:trPr>
        <w:tc>
          <w:tcPr>
            <w:tcW w:w="160" w:type="dxa"/>
            <w:vAlign w:val="bottom"/>
          </w:tcPr>
          <w:p>
            <w:pPr>
              <w:spacing w:after="0"/>
              <w:rPr>
                <w:sz w:val="24"/>
                <w:szCs w:val="24"/>
                <w:color w:val="auto"/>
              </w:rPr>
            </w:pPr>
          </w:p>
        </w:tc>
        <w:tc>
          <w:tcPr>
            <w:tcW w:w="3800" w:type="dxa"/>
            <w:vAlign w:val="bottom"/>
            <w:tcBorders>
              <w:bottom w:val="single" w:sz="8" w:color="0000EE"/>
            </w:tcBorders>
            <w:gridSpan w:val="12"/>
          </w:tcPr>
          <w:p>
            <w:pPr>
              <w:spacing w:after="0"/>
              <w:rPr>
                <w:rFonts w:ascii="Arial" w:cs="Arial" w:eastAsia="Arial" w:hAnsi="Arial"/>
                <w:sz w:val="13"/>
                <w:szCs w:val="13"/>
                <w:color w:val="0000EE"/>
                <w:w w:val="86"/>
              </w:rPr>
            </w:pPr>
            <w:hyperlink w:anchor="page5">
              <w:r>
                <w:rPr>
                  <w:rFonts w:ascii="Arial" w:cs="Arial" w:eastAsia="Arial" w:hAnsi="Arial"/>
                  <w:sz w:val="13"/>
                  <w:szCs w:val="13"/>
                  <w:color w:val="0000EE"/>
                  <w:w w:val="86"/>
                </w:rPr>
                <w:t>Consolidated Balance Sheets as of March 31, 2019 and December 31, 2018</w:t>
              </w:r>
            </w:hyperlink>
          </w:p>
        </w:tc>
        <w:tc>
          <w:tcPr>
            <w:tcW w:w="4980" w:type="dxa"/>
            <w:vAlign w:val="bottom"/>
            <w:gridSpan w:val="11"/>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81"/>
        </w:trPr>
        <w:tc>
          <w:tcPr>
            <w:tcW w:w="160" w:type="dxa"/>
            <w:vAlign w:val="bottom"/>
          </w:tcPr>
          <w:p>
            <w:pPr>
              <w:spacing w:after="0"/>
              <w:rPr>
                <w:sz w:val="24"/>
                <w:szCs w:val="24"/>
                <w:color w:val="auto"/>
              </w:rPr>
            </w:pPr>
          </w:p>
        </w:tc>
        <w:tc>
          <w:tcPr>
            <w:tcW w:w="8780" w:type="dxa"/>
            <w:vAlign w:val="bottom"/>
            <w:gridSpan w:val="23"/>
          </w:tcPr>
          <w:p>
            <w:pPr>
              <w:spacing w:after="0"/>
              <w:rPr>
                <w:rFonts w:ascii="Arial" w:cs="Arial" w:eastAsia="Arial" w:hAnsi="Arial"/>
                <w:sz w:val="13"/>
                <w:szCs w:val="13"/>
                <w:color w:val="0000EE"/>
              </w:rPr>
            </w:pPr>
            <w:hyperlink w:anchor="page6">
              <w:r>
                <w:rPr>
                  <w:rFonts w:ascii="Arial" w:cs="Arial" w:eastAsia="Arial" w:hAnsi="Arial"/>
                  <w:sz w:val="13"/>
                  <w:szCs w:val="13"/>
                  <w:color w:val="0000EE"/>
                </w:rPr>
                <w:t>Consolidated Statements of Operations for the three months ended March 31, 2019 and 2018</w:t>
              </w:r>
            </w:hyperlink>
          </w:p>
        </w:tc>
        <w:tc>
          <w:tcPr>
            <w:tcW w:w="256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0"/>
        </w:trPr>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81"/>
        </w:trPr>
        <w:tc>
          <w:tcPr>
            <w:tcW w:w="160" w:type="dxa"/>
            <w:vAlign w:val="bottom"/>
          </w:tcPr>
          <w:p>
            <w:pPr>
              <w:spacing w:after="0"/>
              <w:rPr>
                <w:sz w:val="24"/>
                <w:szCs w:val="24"/>
                <w:color w:val="auto"/>
              </w:rPr>
            </w:pPr>
          </w:p>
        </w:tc>
        <w:tc>
          <w:tcPr>
            <w:tcW w:w="8780" w:type="dxa"/>
            <w:vAlign w:val="bottom"/>
            <w:gridSpan w:val="23"/>
          </w:tcPr>
          <w:p>
            <w:pPr>
              <w:spacing w:after="0"/>
              <w:rPr>
                <w:rFonts w:ascii="Arial" w:cs="Arial" w:eastAsia="Arial" w:hAnsi="Arial"/>
                <w:sz w:val="13"/>
                <w:szCs w:val="13"/>
                <w:color w:val="0000EE"/>
              </w:rPr>
            </w:pPr>
            <w:hyperlink w:anchor="page7">
              <w:r>
                <w:rPr>
                  <w:rFonts w:ascii="Arial" w:cs="Arial" w:eastAsia="Arial" w:hAnsi="Arial"/>
                  <w:sz w:val="13"/>
                  <w:szCs w:val="13"/>
                  <w:color w:val="0000EE"/>
                </w:rPr>
                <w:t>Consolidated Statements of Comprehensive Income (Loss) for the three months ended March 31, 2019 and 2018</w:t>
              </w:r>
            </w:hyperlink>
          </w:p>
        </w:tc>
        <w:tc>
          <w:tcPr>
            <w:tcW w:w="256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81"/>
        </w:trPr>
        <w:tc>
          <w:tcPr>
            <w:tcW w:w="160" w:type="dxa"/>
            <w:vAlign w:val="bottom"/>
          </w:tcPr>
          <w:p>
            <w:pPr>
              <w:spacing w:after="0"/>
              <w:rPr>
                <w:sz w:val="24"/>
                <w:szCs w:val="24"/>
                <w:color w:val="auto"/>
              </w:rPr>
            </w:pPr>
          </w:p>
        </w:tc>
        <w:tc>
          <w:tcPr>
            <w:tcW w:w="5660" w:type="dxa"/>
            <w:vAlign w:val="bottom"/>
            <w:tcBorders>
              <w:top w:val="single" w:sz="8" w:color="0000EE"/>
            </w:tcBorders>
            <w:gridSpan w:val="19"/>
          </w:tcPr>
          <w:p>
            <w:pPr>
              <w:spacing w:after="0"/>
              <w:rPr>
                <w:rFonts w:ascii="Arial" w:cs="Arial" w:eastAsia="Arial" w:hAnsi="Arial"/>
                <w:sz w:val="13"/>
                <w:szCs w:val="13"/>
                <w:color w:val="0000EE"/>
                <w:w w:val="89"/>
              </w:rPr>
            </w:pPr>
            <w:hyperlink w:anchor="page8">
              <w:r>
                <w:rPr>
                  <w:rFonts w:ascii="Arial" w:cs="Arial" w:eastAsia="Arial" w:hAnsi="Arial"/>
                  <w:sz w:val="13"/>
                  <w:szCs w:val="13"/>
                  <w:color w:val="0000EE"/>
                  <w:w w:val="89"/>
                </w:rPr>
                <w:t>Consolidated Statements of Changes in Owners' Equity for the three months ended March 31, 2019 and 2018</w:t>
              </w:r>
            </w:hyperlink>
          </w:p>
        </w:tc>
        <w:tc>
          <w:tcPr>
            <w:tcW w:w="3120" w:type="dxa"/>
            <w:vAlign w:val="bottom"/>
            <w:gridSpan w:val="4"/>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81"/>
        </w:trPr>
        <w:tc>
          <w:tcPr>
            <w:tcW w:w="160" w:type="dxa"/>
            <w:vAlign w:val="bottom"/>
          </w:tcPr>
          <w:p>
            <w:pPr>
              <w:spacing w:after="0"/>
              <w:rPr>
                <w:sz w:val="24"/>
                <w:szCs w:val="24"/>
                <w:color w:val="auto"/>
              </w:rPr>
            </w:pPr>
          </w:p>
        </w:tc>
        <w:tc>
          <w:tcPr>
            <w:tcW w:w="5480" w:type="dxa"/>
            <w:vAlign w:val="bottom"/>
            <w:tcBorders>
              <w:top w:val="single" w:sz="8" w:color="0000EE"/>
            </w:tcBorders>
            <w:gridSpan w:val="18"/>
          </w:tcPr>
          <w:p>
            <w:pPr>
              <w:spacing w:after="0"/>
              <w:rPr>
                <w:rFonts w:ascii="Arial" w:cs="Arial" w:eastAsia="Arial" w:hAnsi="Arial"/>
                <w:sz w:val="13"/>
                <w:szCs w:val="13"/>
                <w:color w:val="0000EE"/>
              </w:rPr>
            </w:pPr>
            <w:hyperlink w:anchor="page9">
              <w:r>
                <w:rPr>
                  <w:rFonts w:ascii="Arial" w:cs="Arial" w:eastAsia="Arial" w:hAnsi="Arial"/>
                  <w:sz w:val="13"/>
                  <w:szCs w:val="13"/>
                  <w:color w:val="0000EE"/>
                </w:rPr>
                <w:t>Consolidated Statements of Cash Flows for the three months ended March 31, 2019 and 2018</w:t>
              </w:r>
            </w:hyperlink>
          </w:p>
        </w:tc>
        <w:tc>
          <w:tcPr>
            <w:tcW w:w="3300" w:type="dxa"/>
            <w:vAlign w:val="bottom"/>
            <w:gridSpan w:val="5"/>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81"/>
        </w:trPr>
        <w:tc>
          <w:tcPr>
            <w:tcW w:w="160" w:type="dxa"/>
            <w:vAlign w:val="bottom"/>
          </w:tcPr>
          <w:p>
            <w:pPr>
              <w:spacing w:after="0"/>
              <w:rPr>
                <w:sz w:val="24"/>
                <w:szCs w:val="24"/>
                <w:color w:val="auto"/>
              </w:rPr>
            </w:pPr>
          </w:p>
        </w:tc>
        <w:tc>
          <w:tcPr>
            <w:tcW w:w="4700" w:type="dxa"/>
            <w:vAlign w:val="bottom"/>
            <w:tcBorders>
              <w:top w:val="single" w:sz="8" w:color="0000EE"/>
            </w:tcBorders>
            <w:gridSpan w:val="16"/>
          </w:tcPr>
          <w:p>
            <w:pPr>
              <w:spacing w:after="0"/>
              <w:rPr>
                <w:rFonts w:ascii="Arial" w:cs="Arial" w:eastAsia="Arial" w:hAnsi="Arial"/>
                <w:sz w:val="13"/>
                <w:szCs w:val="13"/>
                <w:color w:val="0000EE"/>
              </w:rPr>
            </w:pPr>
            <w:hyperlink w:anchor="page10">
              <w:r>
                <w:rPr>
                  <w:rFonts w:ascii="Arial" w:cs="Arial" w:eastAsia="Arial" w:hAnsi="Arial"/>
                  <w:sz w:val="13"/>
                  <w:szCs w:val="13"/>
                  <w:color w:val="0000EE"/>
                </w:rPr>
                <w:t>Notes to Consolidated Financial Statements</w:t>
              </w:r>
            </w:hyperlink>
          </w:p>
        </w:tc>
        <w:tc>
          <w:tcPr>
            <w:tcW w:w="4080" w:type="dxa"/>
            <w:vAlign w:val="bottom"/>
            <w:gridSpan w:val="7"/>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20"/>
        </w:trPr>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81"/>
        </w:trPr>
        <w:tc>
          <w:tcPr>
            <w:tcW w:w="8940" w:type="dxa"/>
            <w:vAlign w:val="bottom"/>
            <w:gridSpan w:val="24"/>
          </w:tcPr>
          <w:p>
            <w:pPr>
              <w:spacing w:after="0"/>
              <w:rPr>
                <w:rFonts w:ascii="Arial" w:cs="Arial" w:eastAsia="Arial" w:hAnsi="Arial"/>
                <w:sz w:val="13"/>
                <w:szCs w:val="13"/>
                <w:color w:val="0000EE"/>
              </w:rPr>
            </w:pPr>
            <w:hyperlink w:anchor="page28">
              <w:r>
                <w:rPr>
                  <w:rFonts w:ascii="Arial" w:cs="Arial" w:eastAsia="Arial" w:hAnsi="Arial"/>
                  <w:sz w:val="13"/>
                  <w:szCs w:val="13"/>
                  <w:color w:val="0000EE"/>
                </w:rPr>
                <w:t>Item 2. Management's Discussion and Analysis of Financial Condition and Results of Operations</w:t>
              </w:r>
            </w:hyperlink>
          </w:p>
        </w:tc>
        <w:tc>
          <w:tcPr>
            <w:tcW w:w="256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281"/>
        </w:trPr>
        <w:tc>
          <w:tcPr>
            <w:tcW w:w="3440" w:type="dxa"/>
            <w:vAlign w:val="bottom"/>
            <w:tcBorders>
              <w:top w:val="single" w:sz="8" w:color="0000EE"/>
              <w:bottom w:val="single" w:sz="8" w:color="0000EE"/>
            </w:tcBorders>
            <w:gridSpan w:val="12"/>
          </w:tcPr>
          <w:p>
            <w:pPr>
              <w:spacing w:after="0"/>
              <w:rPr>
                <w:rFonts w:ascii="Arial" w:cs="Arial" w:eastAsia="Arial" w:hAnsi="Arial"/>
                <w:sz w:val="13"/>
                <w:szCs w:val="13"/>
                <w:color w:val="0000EE"/>
                <w:w w:val="89"/>
              </w:rPr>
            </w:pPr>
            <w:hyperlink w:anchor="page44">
              <w:r>
                <w:rPr>
                  <w:rFonts w:ascii="Arial" w:cs="Arial" w:eastAsia="Arial" w:hAnsi="Arial"/>
                  <w:sz w:val="13"/>
                  <w:szCs w:val="13"/>
                  <w:color w:val="0000EE"/>
                  <w:w w:val="89"/>
                </w:rPr>
                <w:t>Item 3. Quantitative and Qualitative Disclosures About Market Risk</w:t>
              </w:r>
            </w:hyperlink>
          </w:p>
        </w:tc>
        <w:tc>
          <w:tcPr>
            <w:tcW w:w="1420" w:type="dxa"/>
            <w:vAlign w:val="bottom"/>
            <w:tcBorders>
              <w:top w:val="single" w:sz="8" w:color="0000EE"/>
            </w:tcBorders>
            <w:gridSpan w:val="5"/>
          </w:tcPr>
          <w:p>
            <w:pPr>
              <w:spacing w:after="0"/>
              <w:rPr>
                <w:sz w:val="24"/>
                <w:szCs w:val="24"/>
                <w:color w:val="auto"/>
              </w:rPr>
            </w:pPr>
          </w:p>
        </w:tc>
        <w:tc>
          <w:tcPr>
            <w:tcW w:w="4080" w:type="dxa"/>
            <w:vAlign w:val="bottom"/>
            <w:gridSpan w:val="7"/>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281"/>
        </w:trPr>
        <w:tc>
          <w:tcPr>
            <w:tcW w:w="8940" w:type="dxa"/>
            <w:vAlign w:val="bottom"/>
            <w:gridSpan w:val="24"/>
          </w:tcPr>
          <w:p>
            <w:pPr>
              <w:spacing w:after="0"/>
              <w:rPr>
                <w:rFonts w:ascii="Arial" w:cs="Arial" w:eastAsia="Arial" w:hAnsi="Arial"/>
                <w:sz w:val="13"/>
                <w:szCs w:val="13"/>
                <w:color w:val="0000EE"/>
              </w:rPr>
            </w:pPr>
            <w:hyperlink w:anchor="page46">
              <w:r>
                <w:rPr>
                  <w:rFonts w:ascii="Arial" w:cs="Arial" w:eastAsia="Arial" w:hAnsi="Arial"/>
                  <w:sz w:val="13"/>
                  <w:szCs w:val="13"/>
                  <w:color w:val="0000EE"/>
                </w:rPr>
                <w:t>Item 4. Controls and Procedures</w:t>
              </w:r>
            </w:hyperlink>
          </w:p>
        </w:tc>
        <w:tc>
          <w:tcPr>
            <w:tcW w:w="256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281"/>
        </w:trPr>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80" w:type="dxa"/>
            <w:vAlign w:val="bottom"/>
            <w:gridSpan w:val="10"/>
          </w:tcPr>
          <w:p>
            <w:pPr>
              <w:jc w:val="center"/>
              <w:ind w:right="2400"/>
              <w:spacing w:after="0"/>
              <w:rPr>
                <w:rFonts w:ascii="Arial" w:cs="Arial" w:eastAsia="Arial" w:hAnsi="Arial"/>
                <w:sz w:val="13"/>
                <w:szCs w:val="13"/>
                <w:b w:val="1"/>
                <w:bCs w:val="1"/>
                <w:color w:val="0000EE"/>
                <w:w w:val="98"/>
              </w:rPr>
            </w:pPr>
            <w:hyperlink w:anchor="page47">
              <w:r>
                <w:rPr>
                  <w:rFonts w:ascii="Arial" w:cs="Arial" w:eastAsia="Arial" w:hAnsi="Arial"/>
                  <w:sz w:val="13"/>
                  <w:szCs w:val="13"/>
                  <w:b w:val="1"/>
                  <w:bCs w:val="1"/>
                  <w:color w:val="0000EE"/>
                  <w:w w:val="98"/>
                </w:rPr>
                <w:t>PART II—OTHER INFORMATION</w:t>
              </w:r>
            </w:hyperlink>
          </w:p>
        </w:tc>
        <w:tc>
          <w:tcPr>
            <w:tcW w:w="2560" w:type="dxa"/>
            <w:vAlign w:val="bottom"/>
          </w:tcPr>
          <w:p>
            <w:pPr>
              <w:spacing w:after="0"/>
              <w:rPr>
                <w:sz w:val="24"/>
                <w:szCs w:val="24"/>
                <w:color w:val="auto"/>
              </w:rPr>
            </w:pPr>
          </w:p>
        </w:tc>
      </w:tr>
      <w:tr>
        <w:trPr>
          <w:trHeight w:val="281"/>
        </w:trPr>
        <w:tc>
          <w:tcPr>
            <w:tcW w:w="1320" w:type="dxa"/>
            <w:vAlign w:val="bottom"/>
            <w:tcBorders>
              <w:bottom w:val="single" w:sz="8" w:color="0000EE"/>
            </w:tcBorders>
            <w:gridSpan w:val="6"/>
          </w:tcPr>
          <w:p>
            <w:pPr>
              <w:spacing w:after="0"/>
              <w:rPr>
                <w:rFonts w:ascii="Arial" w:cs="Arial" w:eastAsia="Arial" w:hAnsi="Arial"/>
                <w:sz w:val="13"/>
                <w:szCs w:val="13"/>
                <w:color w:val="0000EE"/>
                <w:w w:val="86"/>
              </w:rPr>
            </w:pPr>
            <w:hyperlink w:anchor="page47">
              <w:r>
                <w:rPr>
                  <w:rFonts w:ascii="Arial" w:cs="Arial" w:eastAsia="Arial" w:hAnsi="Arial"/>
                  <w:sz w:val="13"/>
                  <w:szCs w:val="13"/>
                  <w:color w:val="0000EE"/>
                  <w:w w:val="86"/>
                </w:rPr>
                <w:t>Item 1. Legal Proceedings</w:t>
              </w:r>
            </w:hyperlink>
          </w:p>
        </w:tc>
        <w:tc>
          <w:tcPr>
            <w:tcW w:w="3140" w:type="dxa"/>
            <w:vAlign w:val="bottom"/>
            <w:gridSpan w:val="9"/>
          </w:tcPr>
          <w:p>
            <w:pPr>
              <w:spacing w:after="0"/>
              <w:rPr>
                <w:sz w:val="24"/>
                <w:szCs w:val="24"/>
                <w:color w:val="auto"/>
              </w:rPr>
            </w:pPr>
          </w:p>
        </w:tc>
        <w:tc>
          <w:tcPr>
            <w:tcW w:w="1980" w:type="dxa"/>
            <w:vAlign w:val="bottom"/>
            <w:tcBorders>
              <w:top w:val="single" w:sz="8" w:color="0000EE"/>
            </w:tcBorders>
            <w:gridSpan w:val="7"/>
          </w:tcPr>
          <w:p>
            <w:pPr>
              <w:spacing w:after="0"/>
              <w:rPr>
                <w:sz w:val="24"/>
                <w:szCs w:val="24"/>
                <w:color w:val="auto"/>
              </w:rPr>
            </w:pPr>
          </w:p>
        </w:tc>
        <w:tc>
          <w:tcPr>
            <w:tcW w:w="2500" w:type="dxa"/>
            <w:vAlign w:val="bottom"/>
            <w:gridSpan w:val="2"/>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281"/>
        </w:trPr>
        <w:tc>
          <w:tcPr>
            <w:tcW w:w="8940" w:type="dxa"/>
            <w:vAlign w:val="bottom"/>
            <w:gridSpan w:val="24"/>
          </w:tcPr>
          <w:p>
            <w:pPr>
              <w:spacing w:after="0"/>
              <w:rPr>
                <w:rFonts w:ascii="Arial" w:cs="Arial" w:eastAsia="Arial" w:hAnsi="Arial"/>
                <w:sz w:val="13"/>
                <w:szCs w:val="13"/>
                <w:color w:val="0000EE"/>
              </w:rPr>
            </w:pPr>
            <w:hyperlink w:anchor="page47">
              <w:r>
                <w:rPr>
                  <w:rFonts w:ascii="Arial" w:cs="Arial" w:eastAsia="Arial" w:hAnsi="Arial"/>
                  <w:sz w:val="13"/>
                  <w:szCs w:val="13"/>
                  <w:color w:val="0000EE"/>
                </w:rPr>
                <w:t>Item 1A. Risk Factors</w:t>
              </w:r>
            </w:hyperlink>
          </w:p>
        </w:tc>
        <w:tc>
          <w:tcPr>
            <w:tcW w:w="256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81"/>
        </w:trPr>
        <w:tc>
          <w:tcPr>
            <w:tcW w:w="3420" w:type="dxa"/>
            <w:vAlign w:val="bottom"/>
            <w:tcBorders>
              <w:bottom w:val="single" w:sz="8" w:color="0000EE"/>
            </w:tcBorders>
            <w:gridSpan w:val="11"/>
          </w:tcPr>
          <w:p>
            <w:pPr>
              <w:spacing w:after="0"/>
              <w:rPr>
                <w:rFonts w:ascii="Arial" w:cs="Arial" w:eastAsia="Arial" w:hAnsi="Arial"/>
                <w:sz w:val="13"/>
                <w:szCs w:val="13"/>
                <w:color w:val="0000EE"/>
                <w:w w:val="86"/>
              </w:rPr>
            </w:pPr>
            <w:hyperlink w:anchor="page47">
              <w:r>
                <w:rPr>
                  <w:rFonts w:ascii="Arial" w:cs="Arial" w:eastAsia="Arial" w:hAnsi="Arial"/>
                  <w:sz w:val="13"/>
                  <w:szCs w:val="13"/>
                  <w:color w:val="0000EE"/>
                  <w:w w:val="86"/>
                </w:rPr>
                <w:t>Item 2. Unregistered Sales of Equity Securities and Use of Proceeds</w:t>
              </w:r>
            </w:hyperlink>
          </w:p>
        </w:tc>
        <w:tc>
          <w:tcPr>
            <w:tcW w:w="5520" w:type="dxa"/>
            <w:vAlign w:val="bottom"/>
            <w:gridSpan w:val="13"/>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281"/>
        </w:trPr>
        <w:tc>
          <w:tcPr>
            <w:tcW w:w="8940" w:type="dxa"/>
            <w:vAlign w:val="bottom"/>
            <w:gridSpan w:val="24"/>
          </w:tcPr>
          <w:p>
            <w:pPr>
              <w:spacing w:after="0"/>
              <w:rPr>
                <w:rFonts w:ascii="Arial" w:cs="Arial" w:eastAsia="Arial" w:hAnsi="Arial"/>
                <w:sz w:val="13"/>
                <w:szCs w:val="13"/>
                <w:color w:val="0000EE"/>
              </w:rPr>
            </w:pPr>
            <w:hyperlink w:anchor="page47">
              <w:r>
                <w:rPr>
                  <w:rFonts w:ascii="Arial" w:cs="Arial" w:eastAsia="Arial" w:hAnsi="Arial"/>
                  <w:sz w:val="13"/>
                  <w:szCs w:val="13"/>
                  <w:color w:val="0000EE"/>
                </w:rPr>
                <w:t>Item 3. Defaults Upon Senior Securities</w:t>
              </w:r>
            </w:hyperlink>
          </w:p>
        </w:tc>
        <w:tc>
          <w:tcPr>
            <w:tcW w:w="256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281"/>
        </w:trPr>
        <w:tc>
          <w:tcPr>
            <w:tcW w:w="1620" w:type="dxa"/>
            <w:vAlign w:val="bottom"/>
            <w:tcBorders>
              <w:top w:val="single" w:sz="8" w:color="0000EE"/>
              <w:bottom w:val="single" w:sz="8" w:color="0000EE"/>
            </w:tcBorders>
            <w:gridSpan w:val="8"/>
          </w:tcPr>
          <w:p>
            <w:pPr>
              <w:spacing w:after="0"/>
              <w:rPr>
                <w:rFonts w:ascii="Arial" w:cs="Arial" w:eastAsia="Arial" w:hAnsi="Arial"/>
                <w:sz w:val="13"/>
                <w:szCs w:val="13"/>
                <w:color w:val="0000EE"/>
                <w:w w:val="87"/>
              </w:rPr>
            </w:pPr>
            <w:hyperlink w:anchor="page47">
              <w:r>
                <w:rPr>
                  <w:rFonts w:ascii="Arial" w:cs="Arial" w:eastAsia="Arial" w:hAnsi="Arial"/>
                  <w:sz w:val="13"/>
                  <w:szCs w:val="13"/>
                  <w:color w:val="0000EE"/>
                  <w:w w:val="87"/>
                </w:rPr>
                <w:t>Item 4. Mine Safety Disclosures</w:t>
              </w:r>
            </w:hyperlink>
          </w:p>
        </w:tc>
        <w:tc>
          <w:tcPr>
            <w:tcW w:w="380" w:type="dxa"/>
            <w:vAlign w:val="bottom"/>
            <w:tcBorders>
              <w:top w:val="single" w:sz="8" w:color="0000EE"/>
            </w:tcBorders>
          </w:tcPr>
          <w:p>
            <w:pPr>
              <w:spacing w:after="0"/>
              <w:rPr>
                <w:sz w:val="24"/>
                <w:szCs w:val="24"/>
                <w:color w:val="auto"/>
              </w:rPr>
            </w:pPr>
          </w:p>
        </w:tc>
        <w:tc>
          <w:tcPr>
            <w:tcW w:w="6940" w:type="dxa"/>
            <w:vAlign w:val="bottom"/>
            <w:gridSpan w:val="15"/>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281"/>
        </w:trPr>
        <w:tc>
          <w:tcPr>
            <w:tcW w:w="1300" w:type="dxa"/>
            <w:vAlign w:val="bottom"/>
            <w:tcBorders>
              <w:bottom w:val="single" w:sz="8" w:color="0000EE"/>
            </w:tcBorders>
            <w:gridSpan w:val="5"/>
          </w:tcPr>
          <w:p>
            <w:pPr>
              <w:spacing w:after="0"/>
              <w:rPr>
                <w:rFonts w:ascii="Arial" w:cs="Arial" w:eastAsia="Arial" w:hAnsi="Arial"/>
                <w:sz w:val="13"/>
                <w:szCs w:val="13"/>
                <w:color w:val="0000EE"/>
                <w:w w:val="88"/>
              </w:rPr>
            </w:pPr>
            <w:hyperlink w:anchor="page47">
              <w:r>
                <w:rPr>
                  <w:rFonts w:ascii="Arial" w:cs="Arial" w:eastAsia="Arial" w:hAnsi="Arial"/>
                  <w:sz w:val="13"/>
                  <w:szCs w:val="13"/>
                  <w:color w:val="0000EE"/>
                  <w:w w:val="88"/>
                </w:rPr>
                <w:t>Item 5. Other Information</w:t>
              </w:r>
            </w:hyperlink>
          </w:p>
        </w:tc>
        <w:tc>
          <w:tcPr>
            <w:tcW w:w="7640" w:type="dxa"/>
            <w:vAlign w:val="bottom"/>
            <w:gridSpan w:val="19"/>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281"/>
        </w:trPr>
        <w:tc>
          <w:tcPr>
            <w:tcW w:w="8940" w:type="dxa"/>
            <w:vAlign w:val="bottom"/>
            <w:gridSpan w:val="24"/>
          </w:tcPr>
          <w:p>
            <w:pPr>
              <w:spacing w:after="0"/>
              <w:rPr>
                <w:rFonts w:ascii="Arial" w:cs="Arial" w:eastAsia="Arial" w:hAnsi="Arial"/>
                <w:sz w:val="13"/>
                <w:szCs w:val="13"/>
                <w:color w:val="0000EE"/>
              </w:rPr>
            </w:pPr>
            <w:hyperlink w:anchor="page48">
              <w:r>
                <w:rPr>
                  <w:rFonts w:ascii="Arial" w:cs="Arial" w:eastAsia="Arial" w:hAnsi="Arial"/>
                  <w:sz w:val="13"/>
                  <w:szCs w:val="13"/>
                  <w:color w:val="0000EE"/>
                </w:rPr>
                <w:t>Item 6. Exhibits</w:t>
              </w:r>
            </w:hyperlink>
          </w:p>
        </w:tc>
        <w:tc>
          <w:tcPr>
            <w:tcW w:w="256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281"/>
        </w:trPr>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Borders>
              <w:bottom w:val="single" w:sz="8" w:color="0000EE"/>
            </w:tcBorders>
            <w:gridSpan w:val="3"/>
          </w:tcPr>
          <w:p>
            <w:pPr>
              <w:jc w:val="center"/>
              <w:spacing w:after="0"/>
              <w:rPr>
                <w:rFonts w:ascii="Arial" w:cs="Arial" w:eastAsia="Arial" w:hAnsi="Arial"/>
                <w:sz w:val="13"/>
                <w:szCs w:val="13"/>
                <w:b w:val="1"/>
                <w:bCs w:val="1"/>
                <w:color w:val="0000EE"/>
                <w:w w:val="96"/>
              </w:rPr>
            </w:pPr>
            <w:hyperlink w:anchor="page50">
              <w:r>
                <w:rPr>
                  <w:rFonts w:ascii="Arial" w:cs="Arial" w:eastAsia="Arial" w:hAnsi="Arial"/>
                  <w:sz w:val="13"/>
                  <w:szCs w:val="13"/>
                  <w:b w:val="1"/>
                  <w:bCs w:val="1"/>
                  <w:color w:val="0000EE"/>
                  <w:w w:val="96"/>
                </w:rPr>
                <w:t>SIGNATURES</w:t>
              </w:r>
            </w:hyperlink>
          </w:p>
        </w:tc>
        <w:tc>
          <w:tcPr>
            <w:tcW w:w="3080" w:type="dxa"/>
            <w:vAlign w:val="bottom"/>
            <w:gridSpan w:val="3"/>
          </w:tcPr>
          <w:p>
            <w:pPr>
              <w:spacing w:after="0"/>
              <w:rPr>
                <w:sz w:val="24"/>
                <w:szCs w:val="24"/>
                <w:color w:val="auto"/>
              </w:rPr>
            </w:pPr>
          </w:p>
        </w:tc>
        <w:tc>
          <w:tcPr>
            <w:tcW w:w="2560" w:type="dxa"/>
            <w:vAlign w:val="bottom"/>
          </w:tcPr>
          <w:p>
            <w:pPr>
              <w:spacing w:after="0"/>
              <w:rPr>
                <w:sz w:val="24"/>
                <w:szCs w:val="24"/>
                <w:color w:val="auto"/>
              </w:rPr>
            </w:pPr>
          </w:p>
        </w:tc>
      </w:tr>
      <w:tr>
        <w:trPr>
          <w:trHeight w:val="281"/>
        </w:trPr>
        <w:tc>
          <w:tcPr>
            <w:tcW w:w="8940" w:type="dxa"/>
            <w:vAlign w:val="bottom"/>
            <w:gridSpan w:val="24"/>
          </w:tcPr>
          <w:p>
            <w:pPr>
              <w:spacing w:after="0"/>
              <w:rPr>
                <w:rFonts w:ascii="Arial" w:cs="Arial" w:eastAsia="Arial" w:hAnsi="Arial"/>
                <w:sz w:val="13"/>
                <w:szCs w:val="13"/>
                <w:color w:val="0000EE"/>
              </w:rPr>
            </w:pPr>
            <w:hyperlink w:anchor="page50">
              <w:r>
                <w:rPr>
                  <w:rFonts w:ascii="Arial" w:cs="Arial" w:eastAsia="Arial" w:hAnsi="Arial"/>
                  <w:sz w:val="13"/>
                  <w:szCs w:val="13"/>
                  <w:color w:val="0000EE"/>
                </w:rPr>
                <w:t>Signatures</w:t>
              </w:r>
            </w:hyperlink>
          </w:p>
        </w:tc>
        <w:tc>
          <w:tcPr>
            <w:tcW w:w="256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759"/>
        </w:trPr>
        <w:tc>
          <w:tcPr>
            <w:tcW w:w="520" w:type="dxa"/>
            <w:vAlign w:val="bottom"/>
            <w:tcBorders>
              <w:top w:val="single" w:sz="8" w:color="0000EE"/>
            </w:tcBorders>
            <w:gridSpan w:val="2"/>
          </w:tcPr>
          <w:p>
            <w:pPr>
              <w:spacing w:after="0"/>
              <w:rPr>
                <w:sz w:val="24"/>
                <w:szCs w:val="24"/>
                <w:color w:val="auto"/>
              </w:rPr>
            </w:pPr>
          </w:p>
        </w:tc>
        <w:tc>
          <w:tcPr>
            <w:tcW w:w="5300" w:type="dxa"/>
            <w:vAlign w:val="bottom"/>
            <w:gridSpan w:val="18"/>
          </w:tcPr>
          <w:p>
            <w:pPr>
              <w:jc w:val="right"/>
              <w:ind w:right="60"/>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77"/>
        </w:trPr>
        <w:tc>
          <w:tcPr>
            <w:tcW w:w="1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380" w:type="dxa"/>
            <w:vAlign w:val="bottom"/>
            <w:tcBorders>
              <w:bottom w:val="single" w:sz="8" w:color="9A9A9A"/>
            </w:tcBorders>
          </w:tcPr>
          <w:p>
            <w:pPr>
              <w:spacing w:after="0"/>
              <w:rPr>
                <w:sz w:val="6"/>
                <w:szCs w:val="6"/>
                <w:color w:val="auto"/>
              </w:rPr>
            </w:pPr>
          </w:p>
        </w:tc>
        <w:tc>
          <w:tcPr>
            <w:tcW w:w="25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7278370</wp:posOffset>
            </wp:positionH>
            <wp:positionV relativeFrom="paragraph">
              <wp:posOffset>-24130</wp:posOffset>
            </wp:positionV>
            <wp:extent cx="31115"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-24130</wp:posOffset>
            </wp:positionV>
            <wp:extent cx="3111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t>CAUTIONARY STATEMENT ABOUT FORWARD-LOOKING STATEMENTS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Targa Resources Partners LP’s (together with its subsidiaries, “we,” “us,” “our,” “TRP” or the “Partnership”) reports, filings and other public announcements may from time to time contain statements that do not directly or exclusively relate to historical facts. Such statements are “forward-looking statements.” You can typically identify forward-looking statements within the meaning of Section 27A of the Securities Act of 1933, as amended, and Section 21E of the Securities Exchange Act of 1934, as amended, by the use of forward-looking statements, such as “may,” “could,” “project,” “believe,” “anticipate,” “expect,” “estimate,” “potential,” “plan,” “forecast” and other similar words.</w:t>
      </w:r>
    </w:p>
    <w:p>
      <w:pPr>
        <w:spacing w:after="0" w:line="140"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All statements that are not statements of historical facts, including statements regarding our future financial position, business strategy, budgets, projected costs and plans and objectives of management for future operations, are forward-looking statements.</w:t>
      </w:r>
    </w:p>
    <w:p>
      <w:pPr>
        <w:spacing w:after="0" w:line="135"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following risks and uncertainties:</w:t>
      </w:r>
    </w:p>
    <w:p>
      <w:pPr>
        <w:spacing w:after="0" w:line="66" w:lineRule="exact"/>
        <w:rPr>
          <w:sz w:val="20"/>
          <w:szCs w:val="20"/>
          <w:color w:val="auto"/>
        </w:rPr>
      </w:pPr>
    </w:p>
    <w:p>
      <w:pPr>
        <w:ind w:left="740" w:hanging="368"/>
        <w:spacing w:after="0"/>
        <w:tabs>
          <w:tab w:leader="none" w:pos="7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the timing and extent of changes in natural gas, natural gas liquids, crude oil and other commodity prices, interest rates and demand for our services;</w:t>
      </w:r>
    </w:p>
    <w:p>
      <w:pPr>
        <w:spacing w:after="0" w:line="143" w:lineRule="exact"/>
        <w:rPr>
          <w:rFonts w:ascii="Arial" w:cs="Arial" w:eastAsia="Arial" w:hAnsi="Arial"/>
          <w:sz w:val="20"/>
          <w:szCs w:val="20"/>
          <w:color w:val="auto"/>
          <w:vertAlign w:val="superscript"/>
        </w:rPr>
      </w:pPr>
    </w:p>
    <w:p>
      <w:pPr>
        <w:ind w:left="740" w:hanging="368"/>
        <w:spacing w:after="0" w:line="207" w:lineRule="auto"/>
        <w:tabs>
          <w:tab w:leader="none" w:pos="740" w:val="left"/>
        </w:tabs>
        <w:numPr>
          <w:ilvl w:val="0"/>
          <w:numId w:val="3"/>
        </w:numPr>
        <w:rPr>
          <w:rFonts w:ascii="Arial" w:cs="Arial" w:eastAsia="Arial" w:hAnsi="Arial"/>
          <w:sz w:val="19"/>
          <w:szCs w:val="19"/>
          <w:color w:val="auto"/>
          <w:vertAlign w:val="superscript"/>
        </w:rPr>
      </w:pPr>
      <w:r>
        <w:rPr>
          <w:rFonts w:ascii="Arial" w:cs="Arial" w:eastAsia="Arial" w:hAnsi="Arial"/>
          <w:sz w:val="12"/>
          <w:szCs w:val="12"/>
          <w:color w:val="auto"/>
        </w:rPr>
        <w:t>the level and success of crude oil and natural gas drilling around our assets, our success in connecting natural gas supplies to our gathering and processing systems, oil supplies to our gathering systems and natural gas liquid supplies to our transportation and logistics and marketing facilities and our success in connecting our facilities to transportation services and markets;</w:t>
      </w:r>
    </w:p>
    <w:p>
      <w:pPr>
        <w:spacing w:after="0" w:line="71" w:lineRule="exact"/>
        <w:rPr>
          <w:rFonts w:ascii="Arial" w:cs="Arial" w:eastAsia="Arial" w:hAnsi="Arial"/>
          <w:sz w:val="19"/>
          <w:szCs w:val="19"/>
          <w:color w:val="auto"/>
          <w:vertAlign w:val="superscript"/>
        </w:rPr>
      </w:pPr>
    </w:p>
    <w:p>
      <w:pPr>
        <w:ind w:left="740" w:hanging="368"/>
        <w:spacing w:after="0"/>
        <w:tabs>
          <w:tab w:leader="none" w:pos="7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our ability to access the capital markets, which will depend on general market conditions and the credit ratings for our debt obligations;</w:t>
      </w:r>
    </w:p>
    <w:p>
      <w:pPr>
        <w:spacing w:after="0" w:line="99" w:lineRule="exact"/>
        <w:rPr>
          <w:rFonts w:ascii="Arial" w:cs="Arial" w:eastAsia="Arial" w:hAnsi="Arial"/>
          <w:sz w:val="20"/>
          <w:szCs w:val="20"/>
          <w:color w:val="auto"/>
          <w:vertAlign w:val="superscript"/>
        </w:rPr>
      </w:pPr>
    </w:p>
    <w:p>
      <w:pPr>
        <w:ind w:left="740" w:hanging="368"/>
        <w:spacing w:after="0" w:line="210" w:lineRule="auto"/>
        <w:tabs>
          <w:tab w:leader="none" w:pos="7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the amount of collateral required to be posted from time to time in our transactions;</w:t>
      </w:r>
    </w:p>
    <w:p>
      <w:pPr>
        <w:spacing w:after="0" w:line="99" w:lineRule="exact"/>
        <w:rPr>
          <w:rFonts w:ascii="Arial" w:cs="Arial" w:eastAsia="Arial" w:hAnsi="Arial"/>
          <w:sz w:val="20"/>
          <w:szCs w:val="20"/>
          <w:color w:val="auto"/>
          <w:vertAlign w:val="superscript"/>
        </w:rPr>
      </w:pPr>
    </w:p>
    <w:p>
      <w:pPr>
        <w:ind w:left="740" w:hanging="368"/>
        <w:spacing w:after="0" w:line="210" w:lineRule="auto"/>
        <w:tabs>
          <w:tab w:leader="none" w:pos="7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our success in risk management activities, including the use of derivative instruments to hedge commodity price risks;</w:t>
      </w:r>
    </w:p>
    <w:p>
      <w:pPr>
        <w:spacing w:after="0" w:line="99" w:lineRule="exact"/>
        <w:rPr>
          <w:rFonts w:ascii="Arial" w:cs="Arial" w:eastAsia="Arial" w:hAnsi="Arial"/>
          <w:sz w:val="20"/>
          <w:szCs w:val="20"/>
          <w:color w:val="auto"/>
          <w:vertAlign w:val="superscript"/>
        </w:rPr>
      </w:pPr>
    </w:p>
    <w:p>
      <w:pPr>
        <w:ind w:left="740" w:hanging="368"/>
        <w:spacing w:after="0" w:line="210" w:lineRule="auto"/>
        <w:tabs>
          <w:tab w:leader="none" w:pos="7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the level of creditworthiness of counterparties to various transactions with us;</w:t>
      </w:r>
    </w:p>
    <w:p>
      <w:pPr>
        <w:spacing w:after="0" w:line="99" w:lineRule="exact"/>
        <w:rPr>
          <w:rFonts w:ascii="Arial" w:cs="Arial" w:eastAsia="Arial" w:hAnsi="Arial"/>
          <w:sz w:val="20"/>
          <w:szCs w:val="20"/>
          <w:color w:val="auto"/>
          <w:vertAlign w:val="superscript"/>
        </w:rPr>
      </w:pPr>
    </w:p>
    <w:p>
      <w:pPr>
        <w:ind w:left="740" w:hanging="368"/>
        <w:spacing w:after="0" w:line="210" w:lineRule="auto"/>
        <w:tabs>
          <w:tab w:leader="none" w:pos="7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changes in laws and regulations, particularly with regard to taxes, safety and protection of the environment;</w:t>
      </w:r>
    </w:p>
    <w:p>
      <w:pPr>
        <w:spacing w:after="0" w:line="99" w:lineRule="exact"/>
        <w:rPr>
          <w:rFonts w:ascii="Arial" w:cs="Arial" w:eastAsia="Arial" w:hAnsi="Arial"/>
          <w:sz w:val="20"/>
          <w:szCs w:val="20"/>
          <w:color w:val="auto"/>
          <w:vertAlign w:val="superscript"/>
        </w:rPr>
      </w:pPr>
    </w:p>
    <w:p>
      <w:pPr>
        <w:ind w:left="740" w:hanging="368"/>
        <w:spacing w:after="0" w:line="210" w:lineRule="auto"/>
        <w:tabs>
          <w:tab w:leader="none" w:pos="7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weather and other natural phenomena;</w:t>
      </w:r>
    </w:p>
    <w:p>
      <w:pPr>
        <w:spacing w:after="0" w:line="99" w:lineRule="exact"/>
        <w:rPr>
          <w:rFonts w:ascii="Arial" w:cs="Arial" w:eastAsia="Arial" w:hAnsi="Arial"/>
          <w:sz w:val="20"/>
          <w:szCs w:val="20"/>
          <w:color w:val="auto"/>
          <w:vertAlign w:val="superscript"/>
        </w:rPr>
      </w:pPr>
    </w:p>
    <w:p>
      <w:pPr>
        <w:ind w:left="740" w:hanging="368"/>
        <w:spacing w:after="0" w:line="210" w:lineRule="auto"/>
        <w:tabs>
          <w:tab w:leader="none" w:pos="7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industry changes, including the impact of consolidations and changes in competition;</w:t>
      </w:r>
    </w:p>
    <w:p>
      <w:pPr>
        <w:spacing w:after="0" w:line="99" w:lineRule="exact"/>
        <w:rPr>
          <w:rFonts w:ascii="Arial" w:cs="Arial" w:eastAsia="Arial" w:hAnsi="Arial"/>
          <w:sz w:val="20"/>
          <w:szCs w:val="20"/>
          <w:color w:val="auto"/>
          <w:vertAlign w:val="superscript"/>
        </w:rPr>
      </w:pPr>
    </w:p>
    <w:p>
      <w:pPr>
        <w:ind w:left="740" w:hanging="368"/>
        <w:spacing w:after="0" w:line="210" w:lineRule="auto"/>
        <w:tabs>
          <w:tab w:leader="none" w:pos="7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our ability to obtain necessary licenses, permits and other approvals;</w:t>
      </w:r>
    </w:p>
    <w:p>
      <w:pPr>
        <w:spacing w:after="0" w:line="99" w:lineRule="exact"/>
        <w:rPr>
          <w:rFonts w:ascii="Arial" w:cs="Arial" w:eastAsia="Arial" w:hAnsi="Arial"/>
          <w:sz w:val="20"/>
          <w:szCs w:val="20"/>
          <w:color w:val="auto"/>
          <w:vertAlign w:val="superscript"/>
        </w:rPr>
      </w:pPr>
    </w:p>
    <w:p>
      <w:pPr>
        <w:ind w:left="740" w:hanging="368"/>
        <w:spacing w:after="0" w:line="210" w:lineRule="auto"/>
        <w:tabs>
          <w:tab w:leader="none" w:pos="7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our ability to grow through acquisitions or internal growth projects and the successful integration and future performance of such assets;</w:t>
      </w:r>
    </w:p>
    <w:p>
      <w:pPr>
        <w:spacing w:after="0" w:line="99" w:lineRule="exact"/>
        <w:rPr>
          <w:rFonts w:ascii="Arial" w:cs="Arial" w:eastAsia="Arial" w:hAnsi="Arial"/>
          <w:sz w:val="20"/>
          <w:szCs w:val="20"/>
          <w:color w:val="auto"/>
          <w:vertAlign w:val="superscript"/>
        </w:rPr>
      </w:pPr>
    </w:p>
    <w:p>
      <w:pPr>
        <w:ind w:left="740" w:hanging="368"/>
        <w:spacing w:after="0" w:line="210" w:lineRule="auto"/>
        <w:tabs>
          <w:tab w:leader="none" w:pos="7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general economic, market and business conditions; and</w:t>
      </w:r>
    </w:p>
    <w:p>
      <w:pPr>
        <w:spacing w:after="0" w:line="143" w:lineRule="exact"/>
        <w:rPr>
          <w:rFonts w:ascii="Arial" w:cs="Arial" w:eastAsia="Arial" w:hAnsi="Arial"/>
          <w:sz w:val="20"/>
          <w:szCs w:val="20"/>
          <w:color w:val="auto"/>
          <w:vertAlign w:val="superscript"/>
        </w:rPr>
      </w:pPr>
    </w:p>
    <w:p>
      <w:pPr>
        <w:ind w:left="740" w:hanging="274"/>
        <w:spacing w:after="0" w:line="194" w:lineRule="auto"/>
        <w:tabs>
          <w:tab w:leader="none" w:pos="740" w:val="left"/>
        </w:tabs>
        <w:numPr>
          <w:ilvl w:val="1"/>
          <w:numId w:val="3"/>
        </w:numPr>
        <w:rPr>
          <w:rFonts w:ascii="Arial" w:cs="Arial" w:eastAsia="Arial" w:hAnsi="Arial"/>
          <w:sz w:val="20"/>
          <w:szCs w:val="20"/>
          <w:color w:val="auto"/>
          <w:vertAlign w:val="superscript"/>
        </w:rPr>
      </w:pPr>
      <w:r>
        <w:rPr>
          <w:rFonts w:ascii="Arial" w:cs="Arial" w:eastAsia="Arial" w:hAnsi="Arial"/>
          <w:sz w:val="13"/>
          <w:szCs w:val="13"/>
          <w:color w:val="auto"/>
        </w:rPr>
        <w:t>the risks described in our Annual Report on Form 10-K for the year ended December 31, 2018 (“Annual Report”) and our reports and registration statements filed from time to time with the United States Securities and Exchange Commission (“SEC”).</w:t>
      </w:r>
    </w:p>
    <w:p>
      <w:pPr>
        <w:spacing w:after="0" w:line="14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Although we believe that the assumptions underlying our forward-looking statements are reasonable, any of the assumptions could be inaccurate, and, therefore, we cannot assure you that the forward-looking statements included in this Quarterly Report on Form 10-Q for the quarter ended March 31, 2019 (“Quarterly Report”) will prove to be accurate. Some of these and other risks and uncertainties that could cause actual results to differ materially from such forward-looking statements are more fully described in our Annual Report. Except as may be required by applicable law, we undertake no obligation to publicly update or advise of any change in any forward-looking statement, whether as a result of new information, future events or otherwise.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 w:name="page4"/>
    <w:bookmarkEnd w:id="3"/>
    <w:p>
      <w:pPr>
        <w:spacing w:after="0"/>
        <w:rPr>
          <w:sz w:val="20"/>
          <w:szCs w:val="20"/>
          <w:color w:val="auto"/>
        </w:rPr>
      </w:pPr>
      <w:r>
        <w:rPr>
          <w:rFonts w:ascii="Arial" w:cs="Arial" w:eastAsia="Arial" w:hAnsi="Arial"/>
          <w:sz w:val="11"/>
          <w:szCs w:val="11"/>
          <w:color w:val="auto"/>
        </w:rPr>
        <w:t>As generally used in the energy industry and in this Quarterly Report, the identified terms have the following meanings:</w:t>
      </w:r>
    </w:p>
    <w:p>
      <w:pPr>
        <w:sectPr>
          <w:pgSz w:w="11900" w:h="16838" w:orient="portrait"/>
          <w:cols w:equalWidth="0" w:num="1">
            <w:col w:w="10239"/>
          </w:cols>
          <w:pgMar w:left="220" w:top="131" w:right="1440"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Bbl</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BBtu</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Bcf</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Btu</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GAAP</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gal</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LIBOR</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LPG</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MBbl</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MMBbl</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MMBtu</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MMcf</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MMgal</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NGL(s)</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NYMEX</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NYSE</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SCOOP</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STACK</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Barrels (equal to 42 U.S. gallons)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Billion British thermal units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Billion cubic feet</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British thermal units, a measure of heating value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Per day</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Accounting principles generally accepted in the United States of America</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U.S. gallons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London Interbank Offered Rate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Liquefied petroleum gas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Thousand barrels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Million barrels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Million British thermal units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Million cubic feet</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Million U.S. gallons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Natural gas liquid(s)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New York Mercantile Exchange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New York Stock Exchange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South Central Oklahoma Oil Province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Sooner Trend, Anadarko, Canadian and Kingfisher</w:t>
      </w:r>
    </w:p>
    <w:p>
      <w:pPr>
        <w:spacing w:after="0" w:line="200" w:lineRule="exact"/>
        <w:rPr>
          <w:sz w:val="20"/>
          <w:szCs w:val="20"/>
          <w:color w:val="auto"/>
        </w:rPr>
      </w:pPr>
    </w:p>
    <w:p>
      <w:pPr>
        <w:sectPr>
          <w:pgSz w:w="11900" w:h="16838" w:orient="portrait"/>
          <w:cols w:equalWidth="0" w:num="2">
            <w:col w:w="460" w:space="580"/>
            <w:col w:w="9199"/>
          </w:cols>
          <w:pgMar w:left="220" w:top="131"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570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63500</wp:posOffset>
            </wp:positionV>
            <wp:extent cx="732536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0239"/>
          </w:cols>
          <w:pgMar w:left="220" w:top="131" w:right="1440"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auto"/>
        </w:rPr>
        <w:t>PART I – FINANCIAL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Financial Statements.</w:t>
      </w:r>
    </w:p>
    <w:p>
      <w:pPr>
        <w:spacing w:after="0" w:line="7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TARGA RESOURCES PARTNERS LP</w:t>
      </w:r>
    </w:p>
    <w:p>
      <w:pPr>
        <w:spacing w:after="0" w:line="12"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0"/>
                <w:szCs w:val="10"/>
                <w:b w:val="1"/>
                <w:bCs w:val="1"/>
                <w:color w:val="auto"/>
              </w:rPr>
              <w:t>March 31, 2019</w:t>
            </w:r>
          </w:p>
        </w:tc>
        <w:tc>
          <w:tcPr>
            <w:tcW w:w="260" w:type="dxa"/>
            <w:vAlign w:val="bottom"/>
          </w:tcPr>
          <w:p>
            <w:pPr>
              <w:spacing w:after="0"/>
              <w:rPr>
                <w:sz w:val="10"/>
                <w:szCs w:val="10"/>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3"/>
          </w:tcPr>
          <w:p>
            <w:pPr>
              <w:jc w:val="right"/>
              <w:ind w:right="109"/>
              <w:spacing w:after="0"/>
              <w:rPr>
                <w:sz w:val="20"/>
                <w:szCs w:val="20"/>
                <w:color w:val="auto"/>
              </w:rPr>
            </w:pPr>
            <w:r>
              <w:rPr>
                <w:rFonts w:ascii="Arial" w:cs="Arial" w:eastAsia="Arial" w:hAnsi="Arial"/>
                <w:sz w:val="10"/>
                <w:szCs w:val="10"/>
                <w:b w:val="1"/>
                <w:bCs w:val="1"/>
                <w:color w:val="auto"/>
              </w:rPr>
              <w:t>(Unaudited)</w:t>
            </w:r>
          </w:p>
        </w:tc>
        <w:tc>
          <w:tcPr>
            <w:tcW w:w="1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760" w:type="dxa"/>
            <w:vAlign w:val="bottom"/>
            <w:gridSpan w:val="4"/>
            <w:vMerge w:val="restart"/>
          </w:tcPr>
          <w:p>
            <w:pPr>
              <w:jc w:val="right"/>
              <w:ind w:right="2029"/>
              <w:spacing w:after="0"/>
              <w:rPr>
                <w:sz w:val="20"/>
                <w:szCs w:val="20"/>
                <w:color w:val="auto"/>
              </w:rPr>
            </w:pPr>
            <w:r>
              <w:rPr>
                <w:rFonts w:ascii="Arial" w:cs="Arial" w:eastAsia="Arial" w:hAnsi="Arial"/>
                <w:sz w:val="11"/>
                <w:szCs w:val="11"/>
                <w:b w:val="1"/>
                <w:bCs w:val="1"/>
                <w:color w:val="auto"/>
              </w:rPr>
              <w:t>ASSETS</w:t>
            </w:r>
          </w:p>
        </w:tc>
        <w:tc>
          <w:tcPr>
            <w:tcW w:w="1980" w:type="dxa"/>
            <w:vAlign w:val="bottom"/>
            <w:gridSpan w:val="3"/>
          </w:tcPr>
          <w:p>
            <w:pPr>
              <w:jc w:val="right"/>
              <w:ind w:right="109"/>
              <w:spacing w:after="0"/>
              <w:rPr>
                <w:sz w:val="20"/>
                <w:szCs w:val="20"/>
                <w:color w:val="auto"/>
              </w:rPr>
            </w:pPr>
            <w:r>
              <w:rPr>
                <w:rFonts w:ascii="Arial" w:cs="Arial" w:eastAsia="Arial" w:hAnsi="Arial"/>
                <w:sz w:val="10"/>
                <w:szCs w:val="10"/>
                <w:b w:val="1"/>
                <w:bCs w:val="1"/>
                <w:color w:val="auto"/>
              </w:rPr>
              <w:t>(In millions)</w:t>
            </w: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4"/>
            <w:vMerge w:val="continue"/>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spacing w:after="0"/>
              <w:rPr>
                <w:sz w:val="20"/>
                <w:szCs w:val="20"/>
                <w:color w:val="auto"/>
              </w:rPr>
            </w:pPr>
            <w:r>
              <w:rPr>
                <w:rFonts w:ascii="Arial" w:cs="Arial" w:eastAsia="Arial" w:hAnsi="Arial"/>
                <w:sz w:val="11"/>
                <w:szCs w:val="11"/>
                <w:color w:val="auto"/>
              </w:rPr>
              <w:t>Current assets:</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160"/>
              <w:spacing w:after="0"/>
              <w:rPr>
                <w:sz w:val="20"/>
                <w:szCs w:val="20"/>
                <w:color w:val="auto"/>
              </w:rPr>
            </w:pPr>
            <w:r>
              <w:rPr>
                <w:rFonts w:ascii="Arial" w:cs="Arial" w:eastAsia="Arial" w:hAnsi="Arial"/>
                <w:sz w:val="11"/>
                <w:szCs w:val="11"/>
                <w:color w:val="auto"/>
              </w:rPr>
              <w:t>Cash and cash equivalents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60" w:type="dxa"/>
            <w:vAlign w:val="bottom"/>
            <w:gridSpan w:val="4"/>
          </w:tcPr>
          <w:p>
            <w:pPr>
              <w:jc w:val="right"/>
              <w:ind w:right="169"/>
              <w:spacing w:after="0"/>
              <w:rPr>
                <w:sz w:val="20"/>
                <w:szCs w:val="20"/>
                <w:color w:val="auto"/>
              </w:rPr>
            </w:pPr>
            <w:r>
              <w:rPr>
                <w:rFonts w:ascii="Arial" w:cs="Arial" w:eastAsia="Arial" w:hAnsi="Arial"/>
                <w:sz w:val="11"/>
                <w:szCs w:val="11"/>
                <w:color w:val="auto"/>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111.7</w:t>
            </w:r>
          </w:p>
        </w:tc>
        <w:tc>
          <w:tcPr>
            <w:tcW w:w="28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203.3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7"/>
              </w:rPr>
              <w:t>Trade receivables, net of allowances of $0.2 and $0.1 million at March 31, 2019 and</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160"/>
              <w:spacing w:after="0"/>
              <w:rPr>
                <w:sz w:val="20"/>
                <w:szCs w:val="20"/>
                <w:color w:val="auto"/>
              </w:rPr>
            </w:pPr>
            <w:r>
              <w:rPr>
                <w:rFonts w:ascii="Arial" w:cs="Arial" w:eastAsia="Arial" w:hAnsi="Arial"/>
                <w:sz w:val="11"/>
                <w:szCs w:val="11"/>
                <w:color w:val="auto"/>
              </w:rPr>
              <w:t>December 31, 2018</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751.7</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160"/>
              <w:spacing w:after="0"/>
              <w:rPr>
                <w:sz w:val="20"/>
                <w:szCs w:val="20"/>
                <w:color w:val="auto"/>
              </w:rPr>
            </w:pPr>
            <w:r>
              <w:rPr>
                <w:rFonts w:ascii="Arial" w:cs="Arial" w:eastAsia="Arial" w:hAnsi="Arial"/>
                <w:sz w:val="11"/>
                <w:szCs w:val="11"/>
                <w:color w:val="auto"/>
              </w:rPr>
              <w:t>Inventories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197.9</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164.7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Assets from risk management activities</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75.9</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Other current assets</w:t>
            </w: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46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1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FF0FC"/>
          </w:tcPr>
          <w:p>
            <w:pPr>
              <w:ind w:left="340"/>
              <w:spacing w:after="0"/>
              <w:rPr>
                <w:sz w:val="20"/>
                <w:szCs w:val="20"/>
                <w:color w:val="auto"/>
              </w:rPr>
            </w:pPr>
            <w:r>
              <w:rPr>
                <w:rFonts w:ascii="Arial" w:cs="Arial" w:eastAsia="Arial" w:hAnsi="Arial"/>
                <w:sz w:val="11"/>
                <w:szCs w:val="11"/>
                <w:color w:val="auto"/>
              </w:rPr>
              <w:t>Total current assets</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1,162.1</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1,379.9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80" w:type="dxa"/>
            <w:vAlign w:val="bottom"/>
          </w:tcPr>
          <w:p>
            <w:pPr>
              <w:spacing w:after="0"/>
              <w:rPr>
                <w:sz w:val="20"/>
                <w:szCs w:val="20"/>
                <w:color w:val="auto"/>
              </w:rPr>
            </w:pPr>
            <w:r>
              <w:rPr>
                <w:rFonts w:ascii="Arial" w:cs="Arial" w:eastAsia="Arial" w:hAnsi="Arial"/>
                <w:sz w:val="11"/>
                <w:szCs w:val="11"/>
                <w:color w:val="auto"/>
              </w:rPr>
              <w:t>Property, plant and equipment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18,182.3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17,213.8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spacing w:after="0"/>
              <w:rPr>
                <w:sz w:val="20"/>
                <w:szCs w:val="20"/>
                <w:color w:val="auto"/>
              </w:rPr>
            </w:pPr>
            <w:r>
              <w:rPr>
                <w:rFonts w:ascii="Arial" w:cs="Arial" w:eastAsia="Arial" w:hAnsi="Arial"/>
                <w:sz w:val="11"/>
                <w:szCs w:val="11"/>
                <w:color w:val="auto"/>
              </w:rPr>
              <w:t>Accumulated depreciation and amortization</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(4,479.2)</w:t>
            </w:r>
          </w:p>
        </w:tc>
        <w:tc>
          <w:tcPr>
            <w:tcW w:w="2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(4,285.5)</w:t>
            </w:r>
          </w:p>
        </w:tc>
        <w:tc>
          <w:tcPr>
            <w:tcW w:w="0" w:type="dxa"/>
            <w:vAlign w:val="bottom"/>
          </w:tcPr>
          <w:p>
            <w:pPr>
              <w:spacing w:after="0"/>
              <w:rPr>
                <w:sz w:val="1"/>
                <w:szCs w:val="1"/>
                <w:color w:val="auto"/>
              </w:rPr>
            </w:pPr>
          </w:p>
        </w:tc>
      </w:tr>
      <w:tr>
        <w:trPr>
          <w:trHeight w:val="138"/>
        </w:trPr>
        <w:tc>
          <w:tcPr>
            <w:tcW w:w="4180" w:type="dxa"/>
            <w:vAlign w:val="bottom"/>
          </w:tcPr>
          <w:p>
            <w:pPr>
              <w:ind w:left="160"/>
              <w:spacing w:after="0"/>
              <w:rPr>
                <w:sz w:val="20"/>
                <w:szCs w:val="20"/>
                <w:color w:val="auto"/>
              </w:rPr>
            </w:pPr>
            <w:r>
              <w:rPr>
                <w:rFonts w:ascii="Arial" w:cs="Arial" w:eastAsia="Arial" w:hAnsi="Arial"/>
                <w:sz w:val="11"/>
                <w:szCs w:val="11"/>
                <w:color w:val="auto"/>
              </w:rPr>
              <w:t>Property, plant and equipment, net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13,703.1</w:t>
            </w: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12,928.3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spacing w:after="0"/>
              <w:rPr>
                <w:sz w:val="20"/>
                <w:szCs w:val="20"/>
                <w:color w:val="auto"/>
              </w:rPr>
            </w:pPr>
            <w:r>
              <w:rPr>
                <w:rFonts w:ascii="Arial" w:cs="Arial" w:eastAsia="Arial" w:hAnsi="Arial"/>
                <w:sz w:val="11"/>
                <w:szCs w:val="11"/>
                <w:color w:val="auto"/>
              </w:rPr>
              <w:t>Intangible assets, net</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1,940.2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1,983.2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20"/>
                <w:szCs w:val="20"/>
                <w:color w:val="auto"/>
              </w:rPr>
            </w:pPr>
            <w:r>
              <w:rPr>
                <w:rFonts w:ascii="Arial" w:cs="Arial" w:eastAsia="Arial" w:hAnsi="Arial"/>
                <w:sz w:val="11"/>
                <w:szCs w:val="11"/>
                <w:color w:val="auto"/>
              </w:rPr>
              <w:t>Goodwill, net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46.6</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spacing w:after="0"/>
              <w:rPr>
                <w:sz w:val="20"/>
                <w:szCs w:val="20"/>
                <w:color w:val="auto"/>
              </w:rPr>
            </w:pPr>
            <w:r>
              <w:rPr>
                <w:rFonts w:ascii="Arial" w:cs="Arial" w:eastAsia="Arial" w:hAnsi="Arial"/>
                <w:sz w:val="11"/>
                <w:szCs w:val="11"/>
                <w:color w:val="auto"/>
              </w:rPr>
              <w:t>Long-term assets from risk management activities</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20"/>
                <w:szCs w:val="20"/>
                <w:color w:val="auto"/>
              </w:rPr>
            </w:pPr>
            <w:r>
              <w:rPr>
                <w:rFonts w:ascii="Arial" w:cs="Arial" w:eastAsia="Arial" w:hAnsi="Arial"/>
                <w:sz w:val="11"/>
                <w:szCs w:val="11"/>
                <w:color w:val="auto"/>
              </w:rPr>
              <w:t>Investments in unconsolidated affiliates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605.9</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490.5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spacing w:after="0"/>
              <w:rPr>
                <w:sz w:val="20"/>
                <w:szCs w:val="20"/>
                <w:color w:val="auto"/>
              </w:rPr>
            </w:pPr>
            <w:r>
              <w:rPr>
                <w:rFonts w:ascii="Arial" w:cs="Arial" w:eastAsia="Arial" w:hAnsi="Arial"/>
                <w:sz w:val="11"/>
                <w:szCs w:val="11"/>
                <w:color w:val="auto"/>
              </w:rPr>
              <w:t>Other long-term assets</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50.0</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340"/>
              <w:spacing w:after="0"/>
              <w:rPr>
                <w:sz w:val="20"/>
                <w:szCs w:val="20"/>
                <w:color w:val="auto"/>
              </w:rPr>
            </w:pPr>
            <w:r>
              <w:rPr>
                <w:rFonts w:ascii="Arial" w:cs="Arial" w:eastAsia="Arial" w:hAnsi="Arial"/>
                <w:sz w:val="11"/>
                <w:szCs w:val="11"/>
                <w:color w:val="auto"/>
              </w:rPr>
              <w:t>Total assets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60" w:type="dxa"/>
            <w:vAlign w:val="bottom"/>
            <w:gridSpan w:val="4"/>
          </w:tcPr>
          <w:p>
            <w:pPr>
              <w:jc w:val="right"/>
              <w:ind w:right="169"/>
              <w:spacing w:after="0"/>
              <w:rPr>
                <w:sz w:val="20"/>
                <w:szCs w:val="20"/>
                <w:color w:val="auto"/>
              </w:rPr>
            </w:pPr>
            <w:r>
              <w:rPr>
                <w:rFonts w:ascii="Arial" w:cs="Arial" w:eastAsia="Arial" w:hAnsi="Arial"/>
                <w:sz w:val="11"/>
                <w:szCs w:val="11"/>
                <w:color w:val="auto"/>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17,531.0</w:t>
            </w:r>
          </w:p>
        </w:tc>
        <w:tc>
          <w:tcPr>
            <w:tcW w:w="28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16,890.1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18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CFF0FC"/>
            </w:tcBorders>
            <w:shd w:val="clear" w:color="auto" w:fill="CFF0FC"/>
          </w:tcPr>
          <w:p>
            <w:pPr>
              <w:spacing w:after="0"/>
              <w:rPr>
                <w:sz w:val="13"/>
                <w:szCs w:val="13"/>
                <w:color w:val="auto"/>
              </w:rPr>
            </w:pPr>
          </w:p>
        </w:tc>
        <w:tc>
          <w:tcPr>
            <w:tcW w:w="11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00" w:type="dxa"/>
            <w:vAlign w:val="bottom"/>
            <w:gridSpan w:val="6"/>
          </w:tcPr>
          <w:p>
            <w:pPr>
              <w:jc w:val="right"/>
              <w:ind w:right="1229"/>
              <w:spacing w:after="0"/>
              <w:rPr>
                <w:sz w:val="20"/>
                <w:szCs w:val="20"/>
                <w:color w:val="auto"/>
              </w:rPr>
            </w:pPr>
            <w:r>
              <w:rPr>
                <w:rFonts w:ascii="Arial" w:cs="Arial" w:eastAsia="Arial" w:hAnsi="Arial"/>
                <w:sz w:val="11"/>
                <w:szCs w:val="11"/>
                <w:b w:val="1"/>
                <w:bCs w:val="1"/>
                <w:color w:val="auto"/>
              </w:rPr>
              <w:t>LIABILITIES AND OWNERS' EQUITY</w:t>
            </w: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spacing w:after="0"/>
              <w:rPr>
                <w:sz w:val="20"/>
                <w:szCs w:val="20"/>
                <w:color w:val="auto"/>
              </w:rPr>
            </w:pPr>
            <w:r>
              <w:rPr>
                <w:rFonts w:ascii="Arial" w:cs="Arial" w:eastAsia="Arial" w:hAnsi="Arial"/>
                <w:sz w:val="11"/>
                <w:szCs w:val="11"/>
                <w:color w:val="auto"/>
              </w:rPr>
              <w:t>Current liabilities:</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160"/>
              <w:spacing w:after="0"/>
              <w:rPr>
                <w:sz w:val="20"/>
                <w:szCs w:val="20"/>
                <w:color w:val="auto"/>
              </w:rPr>
            </w:pPr>
            <w:r>
              <w:rPr>
                <w:rFonts w:ascii="Arial" w:cs="Arial" w:eastAsia="Arial" w:hAnsi="Arial"/>
                <w:sz w:val="11"/>
                <w:szCs w:val="11"/>
                <w:color w:val="auto"/>
              </w:rPr>
              <w:t>Accounts payable and accrued liabilities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60" w:type="dxa"/>
            <w:vAlign w:val="bottom"/>
            <w:gridSpan w:val="4"/>
          </w:tcPr>
          <w:p>
            <w:pPr>
              <w:jc w:val="right"/>
              <w:ind w:right="169"/>
              <w:spacing w:after="0"/>
              <w:rPr>
                <w:sz w:val="20"/>
                <w:szCs w:val="20"/>
                <w:color w:val="auto"/>
              </w:rPr>
            </w:pPr>
            <w:r>
              <w:rPr>
                <w:rFonts w:ascii="Arial" w:cs="Arial" w:eastAsia="Arial" w:hAnsi="Arial"/>
                <w:sz w:val="11"/>
                <w:szCs w:val="11"/>
                <w:color w:val="auto"/>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1,619.4</w:t>
            </w:r>
          </w:p>
        </w:tc>
        <w:tc>
          <w:tcPr>
            <w:tcW w:w="28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1,636.9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Accounts payable to Targa Resources Corp.</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171.2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160"/>
              <w:spacing w:after="0"/>
              <w:rPr>
                <w:sz w:val="20"/>
                <w:szCs w:val="20"/>
                <w:color w:val="auto"/>
              </w:rPr>
            </w:pPr>
            <w:r>
              <w:rPr>
                <w:rFonts w:ascii="Arial" w:cs="Arial" w:eastAsia="Arial" w:hAnsi="Arial"/>
                <w:sz w:val="11"/>
                <w:szCs w:val="11"/>
                <w:color w:val="auto"/>
              </w:rPr>
              <w:t>Liabilities from risk management activities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43.3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Current debt obligations</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318.1</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1,027.9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80" w:type="dxa"/>
            <w:vAlign w:val="bottom"/>
            <w:tcBorders>
              <w:bottom w:val="single" w:sz="8" w:color="CFF0FC"/>
            </w:tcBorders>
          </w:tcPr>
          <w:p>
            <w:pPr>
              <w:ind w:left="340"/>
              <w:spacing w:after="0"/>
              <w:rPr>
                <w:sz w:val="20"/>
                <w:szCs w:val="20"/>
                <w:color w:val="auto"/>
              </w:rPr>
            </w:pPr>
            <w:r>
              <w:rPr>
                <w:rFonts w:ascii="Arial" w:cs="Arial" w:eastAsia="Arial" w:hAnsi="Arial"/>
                <w:sz w:val="11"/>
                <w:szCs w:val="11"/>
                <w:color w:val="auto"/>
              </w:rPr>
              <w:t>Total current liabilities</w:t>
            </w: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46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1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2,152.0</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2,885.8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FF0FC"/>
          </w:tcPr>
          <w:p>
            <w:pPr>
              <w:spacing w:after="0"/>
              <w:rPr>
                <w:sz w:val="20"/>
                <w:szCs w:val="20"/>
                <w:color w:val="auto"/>
              </w:rPr>
            </w:pPr>
            <w:r>
              <w:rPr>
                <w:rFonts w:ascii="Arial" w:cs="Arial" w:eastAsia="Arial" w:hAnsi="Arial"/>
                <w:sz w:val="11"/>
                <w:szCs w:val="11"/>
                <w:color w:val="auto"/>
              </w:rPr>
              <w:t>Long-term debt</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6,683.5</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5,197.4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20"/>
                <w:szCs w:val="20"/>
                <w:color w:val="auto"/>
              </w:rPr>
            </w:pPr>
            <w:r>
              <w:rPr>
                <w:rFonts w:ascii="Arial" w:cs="Arial" w:eastAsia="Arial" w:hAnsi="Arial"/>
                <w:sz w:val="11"/>
                <w:szCs w:val="11"/>
                <w:color w:val="auto"/>
              </w:rPr>
              <w:t>Long-term liabilities from risk management activities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9.4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spacing w:after="0"/>
              <w:rPr>
                <w:sz w:val="20"/>
                <w:szCs w:val="20"/>
                <w:color w:val="auto"/>
              </w:rPr>
            </w:pPr>
            <w:r>
              <w:rPr>
                <w:rFonts w:ascii="Arial" w:cs="Arial" w:eastAsia="Arial" w:hAnsi="Arial"/>
                <w:sz w:val="11"/>
                <w:szCs w:val="11"/>
                <w:color w:val="auto"/>
              </w:rPr>
              <w:t>Deferred income taxes, net</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23.9</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20"/>
                <w:szCs w:val="20"/>
                <w:color w:val="auto"/>
              </w:rPr>
            </w:pPr>
            <w:r>
              <w:rPr>
                <w:rFonts w:ascii="Arial" w:cs="Arial" w:eastAsia="Arial" w:hAnsi="Arial"/>
                <w:sz w:val="11"/>
                <w:szCs w:val="11"/>
                <w:color w:val="auto"/>
              </w:rPr>
              <w:t>Other long-term liabilities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258.3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233.8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spacing w:after="0"/>
              <w:rPr>
                <w:sz w:val="20"/>
                <w:szCs w:val="20"/>
                <w:color w:val="auto"/>
              </w:rPr>
            </w:pPr>
            <w:r>
              <w:rPr>
                <w:rFonts w:ascii="Arial" w:cs="Arial" w:eastAsia="Arial" w:hAnsi="Arial"/>
                <w:sz w:val="11"/>
                <w:szCs w:val="11"/>
                <w:color w:val="auto"/>
              </w:rPr>
              <w:t>Contingencies (see Note 16)</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20"/>
                <w:szCs w:val="20"/>
                <w:color w:val="auto"/>
              </w:rPr>
            </w:pPr>
            <w:r>
              <w:rPr>
                <w:rFonts w:ascii="Arial" w:cs="Arial" w:eastAsia="Arial" w:hAnsi="Arial"/>
                <w:sz w:val="11"/>
                <w:szCs w:val="11"/>
                <w:color w:val="auto"/>
              </w:rPr>
              <w:t>Owners' equity:</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180" w:type="dxa"/>
            <w:vAlign w:val="bottom"/>
            <w:shd w:val="clear" w:color="auto" w:fill="CFF0FC"/>
          </w:tcPr>
          <w:p>
            <w:pPr>
              <w:ind w:left="160"/>
              <w:spacing w:after="0" w:line="124" w:lineRule="exact"/>
              <w:rPr>
                <w:sz w:val="20"/>
                <w:szCs w:val="20"/>
                <w:color w:val="auto"/>
              </w:rPr>
            </w:pPr>
            <w:r>
              <w:rPr>
                <w:rFonts w:ascii="Arial" w:cs="Arial" w:eastAsia="Arial" w:hAnsi="Arial"/>
                <w:sz w:val="11"/>
                <w:szCs w:val="11"/>
                <w:color w:val="auto"/>
              </w:rPr>
              <w:t>Series A preferred limited partners</w:t>
            </w:r>
          </w:p>
        </w:tc>
        <w:tc>
          <w:tcPr>
            <w:tcW w:w="2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spacing w:after="0" w:line="124" w:lineRule="exact"/>
              <w:rPr>
                <w:sz w:val="20"/>
                <w:szCs w:val="20"/>
                <w:color w:val="auto"/>
              </w:rPr>
            </w:pPr>
            <w:r>
              <w:rPr>
                <w:rFonts w:ascii="Arial" w:cs="Arial" w:eastAsia="Arial" w:hAnsi="Arial"/>
                <w:sz w:val="11"/>
                <w:szCs w:val="11"/>
                <w:color w:val="auto"/>
              </w:rPr>
              <w:t>Issued</w:t>
            </w:r>
          </w:p>
        </w:tc>
        <w:tc>
          <w:tcPr>
            <w:tcW w:w="2760" w:type="dxa"/>
            <w:vAlign w:val="bottom"/>
            <w:gridSpan w:val="4"/>
            <w:shd w:val="clear" w:color="auto" w:fill="CFF0FC"/>
          </w:tcPr>
          <w:p>
            <w:pPr>
              <w:jc w:val="right"/>
              <w:ind w:right="1329"/>
              <w:spacing w:after="0" w:line="124" w:lineRule="exact"/>
              <w:rPr>
                <w:sz w:val="20"/>
                <w:szCs w:val="20"/>
                <w:color w:val="auto"/>
              </w:rPr>
            </w:pPr>
            <w:r>
              <w:rPr>
                <w:rFonts w:ascii="Arial" w:cs="Arial" w:eastAsia="Arial" w:hAnsi="Arial"/>
                <w:sz w:val="11"/>
                <w:szCs w:val="11"/>
                <w:color w:val="auto"/>
              </w:rPr>
              <w:t>Outstanding</w:t>
            </w:r>
          </w:p>
        </w:tc>
        <w:tc>
          <w:tcPr>
            <w:tcW w:w="144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120.6</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2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120.6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41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180" w:type="dxa"/>
            <w:vAlign w:val="bottom"/>
          </w:tcPr>
          <w:p>
            <w:pPr>
              <w:ind w:left="520"/>
              <w:spacing w:after="0"/>
              <w:rPr>
                <w:sz w:val="20"/>
                <w:szCs w:val="20"/>
                <w:color w:val="auto"/>
              </w:rPr>
            </w:pPr>
            <w:r>
              <w:rPr>
                <w:rFonts w:ascii="Arial" w:cs="Arial" w:eastAsia="Arial" w:hAnsi="Arial"/>
                <w:sz w:val="11"/>
                <w:szCs w:val="11"/>
                <w:color w:val="auto"/>
              </w:rPr>
              <w:t>March 31, 2019</w:t>
            </w:r>
          </w:p>
        </w:tc>
        <w:tc>
          <w:tcPr>
            <w:tcW w:w="1020" w:type="dxa"/>
            <w:vAlign w:val="bottom"/>
            <w:gridSpan w:val="3"/>
          </w:tcPr>
          <w:p>
            <w:pPr>
              <w:jc w:val="center"/>
              <w:ind w:right="60"/>
              <w:spacing w:after="0"/>
              <w:rPr>
                <w:sz w:val="20"/>
                <w:szCs w:val="20"/>
                <w:color w:val="auto"/>
              </w:rPr>
            </w:pPr>
            <w:r>
              <w:rPr>
                <w:rFonts w:ascii="Arial" w:cs="Arial" w:eastAsia="Arial" w:hAnsi="Arial"/>
                <w:sz w:val="11"/>
                <w:szCs w:val="11"/>
                <w:color w:val="auto"/>
                <w:w w:val="89"/>
              </w:rPr>
              <w:t>5,000,000</w:t>
            </w:r>
          </w:p>
        </w:tc>
        <w:tc>
          <w:tcPr>
            <w:tcW w:w="2480" w:type="dxa"/>
            <w:vAlign w:val="bottom"/>
            <w:gridSpan w:val="3"/>
          </w:tcPr>
          <w:p>
            <w:pPr>
              <w:jc w:val="center"/>
              <w:ind w:right="160"/>
              <w:spacing w:after="0"/>
              <w:rPr>
                <w:sz w:val="20"/>
                <w:szCs w:val="20"/>
                <w:color w:val="auto"/>
              </w:rPr>
            </w:pPr>
            <w:r>
              <w:rPr>
                <w:rFonts w:ascii="Arial" w:cs="Arial" w:eastAsia="Arial" w:hAnsi="Arial"/>
                <w:sz w:val="11"/>
                <w:szCs w:val="11"/>
                <w:color w:val="auto"/>
                <w:w w:val="89"/>
              </w:rPr>
              <w:t>5,000,000</w:t>
            </w: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ind w:left="520"/>
              <w:spacing w:after="0"/>
              <w:rPr>
                <w:sz w:val="20"/>
                <w:szCs w:val="20"/>
                <w:color w:val="auto"/>
              </w:rPr>
            </w:pPr>
            <w:r>
              <w:rPr>
                <w:rFonts w:ascii="Arial" w:cs="Arial" w:eastAsia="Arial" w:hAnsi="Arial"/>
                <w:sz w:val="11"/>
                <w:szCs w:val="11"/>
                <w:color w:val="auto"/>
              </w:rPr>
              <w:t>December 31, 2018</w:t>
            </w:r>
          </w:p>
        </w:tc>
        <w:tc>
          <w:tcPr>
            <w:tcW w:w="1020" w:type="dxa"/>
            <w:vAlign w:val="bottom"/>
            <w:gridSpan w:val="3"/>
            <w:shd w:val="clear" w:color="auto" w:fill="CFF0FC"/>
          </w:tcPr>
          <w:p>
            <w:pPr>
              <w:jc w:val="center"/>
              <w:ind w:right="60"/>
              <w:spacing w:after="0"/>
              <w:rPr>
                <w:sz w:val="20"/>
                <w:szCs w:val="20"/>
                <w:color w:val="auto"/>
              </w:rPr>
            </w:pPr>
            <w:r>
              <w:rPr>
                <w:rFonts w:ascii="Arial" w:cs="Arial" w:eastAsia="Arial" w:hAnsi="Arial"/>
                <w:sz w:val="11"/>
                <w:szCs w:val="11"/>
                <w:color w:val="auto"/>
                <w:w w:val="89"/>
              </w:rPr>
              <w:t>5,000,000</w:t>
            </w:r>
          </w:p>
        </w:tc>
        <w:tc>
          <w:tcPr>
            <w:tcW w:w="2480" w:type="dxa"/>
            <w:vAlign w:val="bottom"/>
            <w:gridSpan w:val="3"/>
            <w:shd w:val="clear" w:color="auto" w:fill="CFF0FC"/>
          </w:tcPr>
          <w:p>
            <w:pPr>
              <w:jc w:val="center"/>
              <w:ind w:right="160"/>
              <w:spacing w:after="0"/>
              <w:rPr>
                <w:sz w:val="20"/>
                <w:szCs w:val="20"/>
                <w:color w:val="auto"/>
              </w:rPr>
            </w:pPr>
            <w:r>
              <w:rPr>
                <w:rFonts w:ascii="Arial" w:cs="Arial" w:eastAsia="Arial" w:hAnsi="Arial"/>
                <w:sz w:val="11"/>
                <w:szCs w:val="11"/>
                <w:color w:val="auto"/>
                <w:w w:val="89"/>
              </w:rPr>
              <w:t>5,000,000</w:t>
            </w:r>
          </w:p>
        </w:tc>
        <w:tc>
          <w:tcPr>
            <w:tcW w:w="2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tcPr>
          <w:p>
            <w:pPr>
              <w:ind w:left="160"/>
              <w:spacing w:after="0" w:line="123" w:lineRule="exact"/>
              <w:rPr>
                <w:sz w:val="20"/>
                <w:szCs w:val="20"/>
                <w:color w:val="auto"/>
              </w:rPr>
            </w:pPr>
            <w:r>
              <w:rPr>
                <w:rFonts w:ascii="Arial" w:cs="Arial" w:eastAsia="Arial" w:hAnsi="Arial"/>
                <w:sz w:val="11"/>
                <w:szCs w:val="11"/>
                <w:color w:val="auto"/>
              </w:rPr>
              <w:t>Common limited partners</w:t>
            </w:r>
          </w:p>
        </w:tc>
        <w:tc>
          <w:tcPr>
            <w:tcW w:w="280" w:type="dxa"/>
            <w:vAlign w:val="bottom"/>
          </w:tcPr>
          <w:p>
            <w:pPr>
              <w:spacing w:after="0"/>
              <w:rPr>
                <w:sz w:val="10"/>
                <w:szCs w:val="10"/>
                <w:color w:val="auto"/>
              </w:rPr>
            </w:pPr>
          </w:p>
        </w:tc>
        <w:tc>
          <w:tcPr>
            <w:tcW w:w="740" w:type="dxa"/>
            <w:vAlign w:val="bottom"/>
            <w:gridSpan w:val="2"/>
          </w:tcPr>
          <w:p>
            <w:pPr>
              <w:spacing w:after="0" w:line="123" w:lineRule="exact"/>
              <w:rPr>
                <w:sz w:val="20"/>
                <w:szCs w:val="20"/>
                <w:color w:val="auto"/>
              </w:rPr>
            </w:pPr>
            <w:r>
              <w:rPr>
                <w:rFonts w:ascii="Arial" w:cs="Arial" w:eastAsia="Arial" w:hAnsi="Arial"/>
                <w:sz w:val="11"/>
                <w:szCs w:val="11"/>
                <w:color w:val="auto"/>
              </w:rPr>
              <w:t>Issued</w:t>
            </w:r>
          </w:p>
        </w:tc>
        <w:tc>
          <w:tcPr>
            <w:tcW w:w="2760" w:type="dxa"/>
            <w:vAlign w:val="bottom"/>
            <w:gridSpan w:val="4"/>
          </w:tcPr>
          <w:p>
            <w:pPr>
              <w:jc w:val="right"/>
              <w:ind w:right="1329"/>
              <w:spacing w:after="0" w:line="123" w:lineRule="exact"/>
              <w:rPr>
                <w:sz w:val="20"/>
                <w:szCs w:val="20"/>
                <w:color w:val="auto"/>
              </w:rPr>
            </w:pPr>
            <w:r>
              <w:rPr>
                <w:rFonts w:ascii="Arial" w:cs="Arial" w:eastAsia="Arial" w:hAnsi="Arial"/>
                <w:sz w:val="11"/>
                <w:szCs w:val="11"/>
                <w:color w:val="auto"/>
              </w:rPr>
              <w:t>Outstanding</w:t>
            </w:r>
          </w:p>
        </w:tc>
        <w:tc>
          <w:tcPr>
            <w:tcW w:w="1440" w:type="dxa"/>
            <w:vAlign w:val="bottom"/>
          </w:tcPr>
          <w:p>
            <w:pPr>
              <w:jc w:val="right"/>
              <w:spacing w:after="0" w:line="123" w:lineRule="exact"/>
              <w:rPr>
                <w:sz w:val="20"/>
                <w:szCs w:val="20"/>
                <w:color w:val="auto"/>
              </w:rPr>
            </w:pPr>
            <w:r>
              <w:rPr>
                <w:rFonts w:ascii="Arial" w:cs="Arial" w:eastAsia="Arial" w:hAnsi="Arial"/>
                <w:sz w:val="11"/>
                <w:szCs w:val="11"/>
                <w:color w:val="auto"/>
              </w:rPr>
              <w:t>5,961.0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jc w:val="right"/>
              <w:spacing w:after="0" w:line="123" w:lineRule="exact"/>
              <w:rPr>
                <w:sz w:val="20"/>
                <w:szCs w:val="20"/>
                <w:color w:val="auto"/>
              </w:rPr>
            </w:pPr>
            <w:r>
              <w:rPr>
                <w:rFonts w:ascii="Arial" w:cs="Arial" w:eastAsia="Arial" w:hAnsi="Arial"/>
                <w:sz w:val="11"/>
                <w:szCs w:val="11"/>
                <w:color w:val="auto"/>
              </w:rPr>
              <w:t>6,227.2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180" w:type="dxa"/>
            <w:vAlign w:val="bottom"/>
            <w:shd w:val="clear" w:color="auto" w:fill="CFF0FC"/>
          </w:tcPr>
          <w:p>
            <w:pPr>
              <w:ind w:left="520"/>
              <w:spacing w:after="0"/>
              <w:rPr>
                <w:sz w:val="20"/>
                <w:szCs w:val="20"/>
                <w:color w:val="auto"/>
              </w:rPr>
            </w:pPr>
            <w:r>
              <w:rPr>
                <w:rFonts w:ascii="Arial" w:cs="Arial" w:eastAsia="Arial" w:hAnsi="Arial"/>
                <w:sz w:val="11"/>
                <w:szCs w:val="11"/>
                <w:color w:val="auto"/>
              </w:rPr>
              <w:t>March 31, 2019</w:t>
            </w:r>
          </w:p>
        </w:tc>
        <w:tc>
          <w:tcPr>
            <w:tcW w:w="1020" w:type="dxa"/>
            <w:vAlign w:val="bottom"/>
            <w:gridSpan w:val="3"/>
            <w:shd w:val="clear" w:color="auto" w:fill="CFF0FC"/>
          </w:tcPr>
          <w:p>
            <w:pPr>
              <w:jc w:val="center"/>
              <w:ind w:right="60"/>
              <w:spacing w:after="0"/>
              <w:rPr>
                <w:sz w:val="20"/>
                <w:szCs w:val="20"/>
                <w:color w:val="auto"/>
              </w:rPr>
            </w:pPr>
            <w:r>
              <w:rPr>
                <w:rFonts w:ascii="Arial" w:cs="Arial" w:eastAsia="Arial" w:hAnsi="Arial"/>
                <w:sz w:val="11"/>
                <w:szCs w:val="11"/>
                <w:color w:val="auto"/>
                <w:w w:val="91"/>
              </w:rPr>
              <w:t>275,168,410</w:t>
            </w:r>
          </w:p>
        </w:tc>
        <w:tc>
          <w:tcPr>
            <w:tcW w:w="2480" w:type="dxa"/>
            <w:vAlign w:val="bottom"/>
            <w:gridSpan w:val="3"/>
            <w:shd w:val="clear" w:color="auto" w:fill="CFF0FC"/>
          </w:tcPr>
          <w:p>
            <w:pPr>
              <w:jc w:val="center"/>
              <w:ind w:right="160"/>
              <w:spacing w:after="0"/>
              <w:rPr>
                <w:sz w:val="20"/>
                <w:szCs w:val="20"/>
                <w:color w:val="auto"/>
              </w:rPr>
            </w:pPr>
            <w:r>
              <w:rPr>
                <w:rFonts w:ascii="Arial" w:cs="Arial" w:eastAsia="Arial" w:hAnsi="Arial"/>
                <w:sz w:val="11"/>
                <w:szCs w:val="11"/>
                <w:color w:val="auto"/>
                <w:w w:val="91"/>
              </w:rPr>
              <w:t>275,168,410</w:t>
            </w:r>
          </w:p>
        </w:tc>
        <w:tc>
          <w:tcPr>
            <w:tcW w:w="2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520"/>
              <w:spacing w:after="0"/>
              <w:rPr>
                <w:sz w:val="20"/>
                <w:szCs w:val="20"/>
                <w:color w:val="auto"/>
              </w:rPr>
            </w:pPr>
            <w:r>
              <w:rPr>
                <w:rFonts w:ascii="Arial" w:cs="Arial" w:eastAsia="Arial" w:hAnsi="Arial"/>
                <w:sz w:val="11"/>
                <w:szCs w:val="11"/>
                <w:color w:val="auto"/>
              </w:rPr>
              <w:t>December 31, 2018</w:t>
            </w:r>
          </w:p>
        </w:tc>
        <w:tc>
          <w:tcPr>
            <w:tcW w:w="1020" w:type="dxa"/>
            <w:vAlign w:val="bottom"/>
            <w:gridSpan w:val="3"/>
          </w:tcPr>
          <w:p>
            <w:pPr>
              <w:jc w:val="center"/>
              <w:ind w:right="60"/>
              <w:spacing w:after="0"/>
              <w:rPr>
                <w:sz w:val="20"/>
                <w:szCs w:val="20"/>
                <w:color w:val="auto"/>
              </w:rPr>
            </w:pPr>
            <w:r>
              <w:rPr>
                <w:rFonts w:ascii="Arial" w:cs="Arial" w:eastAsia="Arial" w:hAnsi="Arial"/>
                <w:sz w:val="11"/>
                <w:szCs w:val="11"/>
                <w:color w:val="auto"/>
                <w:w w:val="91"/>
              </w:rPr>
              <w:t>275,168,410</w:t>
            </w:r>
          </w:p>
        </w:tc>
        <w:tc>
          <w:tcPr>
            <w:tcW w:w="2480" w:type="dxa"/>
            <w:vAlign w:val="bottom"/>
            <w:gridSpan w:val="3"/>
          </w:tcPr>
          <w:p>
            <w:pPr>
              <w:jc w:val="center"/>
              <w:ind w:right="160"/>
              <w:spacing w:after="0"/>
              <w:rPr>
                <w:sz w:val="20"/>
                <w:szCs w:val="20"/>
                <w:color w:val="auto"/>
              </w:rPr>
            </w:pPr>
            <w:r>
              <w:rPr>
                <w:rFonts w:ascii="Arial" w:cs="Arial" w:eastAsia="Arial" w:hAnsi="Arial"/>
                <w:sz w:val="11"/>
                <w:szCs w:val="11"/>
                <w:color w:val="auto"/>
                <w:w w:val="91"/>
              </w:rPr>
              <w:t>275,168,410</w:t>
            </w: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180" w:type="dxa"/>
            <w:vAlign w:val="bottom"/>
            <w:shd w:val="clear" w:color="auto" w:fill="CFF0FC"/>
          </w:tcPr>
          <w:p>
            <w:pPr>
              <w:ind w:left="160"/>
              <w:spacing w:after="0" w:line="124" w:lineRule="exact"/>
              <w:rPr>
                <w:sz w:val="20"/>
                <w:szCs w:val="20"/>
                <w:color w:val="auto"/>
              </w:rPr>
            </w:pPr>
            <w:r>
              <w:rPr>
                <w:rFonts w:ascii="Arial" w:cs="Arial" w:eastAsia="Arial" w:hAnsi="Arial"/>
                <w:sz w:val="11"/>
                <w:szCs w:val="11"/>
                <w:color w:val="auto"/>
              </w:rPr>
              <w:t>General partner</w:t>
            </w:r>
          </w:p>
        </w:tc>
        <w:tc>
          <w:tcPr>
            <w:tcW w:w="2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spacing w:after="0" w:line="124" w:lineRule="exact"/>
              <w:rPr>
                <w:sz w:val="20"/>
                <w:szCs w:val="20"/>
                <w:color w:val="auto"/>
              </w:rPr>
            </w:pPr>
            <w:r>
              <w:rPr>
                <w:rFonts w:ascii="Arial" w:cs="Arial" w:eastAsia="Arial" w:hAnsi="Arial"/>
                <w:sz w:val="11"/>
                <w:szCs w:val="11"/>
                <w:color w:val="auto"/>
              </w:rPr>
              <w:t>Issued</w:t>
            </w:r>
          </w:p>
        </w:tc>
        <w:tc>
          <w:tcPr>
            <w:tcW w:w="2760" w:type="dxa"/>
            <w:vAlign w:val="bottom"/>
            <w:gridSpan w:val="4"/>
            <w:shd w:val="clear" w:color="auto" w:fill="CFF0FC"/>
          </w:tcPr>
          <w:p>
            <w:pPr>
              <w:jc w:val="right"/>
              <w:ind w:right="1329"/>
              <w:spacing w:after="0" w:line="124" w:lineRule="exact"/>
              <w:rPr>
                <w:sz w:val="20"/>
                <w:szCs w:val="20"/>
                <w:color w:val="auto"/>
              </w:rPr>
            </w:pPr>
            <w:r>
              <w:rPr>
                <w:rFonts w:ascii="Arial" w:cs="Arial" w:eastAsia="Arial" w:hAnsi="Arial"/>
                <w:sz w:val="11"/>
                <w:szCs w:val="11"/>
                <w:color w:val="auto"/>
              </w:rPr>
              <w:t>Outstanding</w:t>
            </w:r>
          </w:p>
        </w:tc>
        <w:tc>
          <w:tcPr>
            <w:tcW w:w="144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797.1</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2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802.6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41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180" w:type="dxa"/>
            <w:vAlign w:val="bottom"/>
          </w:tcPr>
          <w:p>
            <w:pPr>
              <w:ind w:left="520"/>
              <w:spacing w:after="0"/>
              <w:rPr>
                <w:sz w:val="20"/>
                <w:szCs w:val="20"/>
                <w:color w:val="auto"/>
              </w:rPr>
            </w:pPr>
            <w:r>
              <w:rPr>
                <w:rFonts w:ascii="Arial" w:cs="Arial" w:eastAsia="Arial" w:hAnsi="Arial"/>
                <w:sz w:val="11"/>
                <w:szCs w:val="11"/>
                <w:color w:val="auto"/>
              </w:rPr>
              <w:t>March 31, 2019</w:t>
            </w:r>
          </w:p>
        </w:tc>
        <w:tc>
          <w:tcPr>
            <w:tcW w:w="1020" w:type="dxa"/>
            <w:vAlign w:val="bottom"/>
            <w:gridSpan w:val="3"/>
          </w:tcPr>
          <w:p>
            <w:pPr>
              <w:jc w:val="center"/>
              <w:ind w:right="60"/>
              <w:spacing w:after="0"/>
              <w:rPr>
                <w:sz w:val="20"/>
                <w:szCs w:val="20"/>
                <w:color w:val="auto"/>
              </w:rPr>
            </w:pPr>
            <w:r>
              <w:rPr>
                <w:rFonts w:ascii="Arial" w:cs="Arial" w:eastAsia="Arial" w:hAnsi="Arial"/>
                <w:sz w:val="11"/>
                <w:szCs w:val="11"/>
                <w:color w:val="auto"/>
                <w:w w:val="89"/>
              </w:rPr>
              <w:t>5,629,136</w:t>
            </w:r>
          </w:p>
        </w:tc>
        <w:tc>
          <w:tcPr>
            <w:tcW w:w="2480" w:type="dxa"/>
            <w:vAlign w:val="bottom"/>
            <w:gridSpan w:val="3"/>
          </w:tcPr>
          <w:p>
            <w:pPr>
              <w:jc w:val="center"/>
              <w:ind w:right="160"/>
              <w:spacing w:after="0"/>
              <w:rPr>
                <w:sz w:val="20"/>
                <w:szCs w:val="20"/>
                <w:color w:val="auto"/>
              </w:rPr>
            </w:pPr>
            <w:r>
              <w:rPr>
                <w:rFonts w:ascii="Arial" w:cs="Arial" w:eastAsia="Arial" w:hAnsi="Arial"/>
                <w:sz w:val="11"/>
                <w:szCs w:val="11"/>
                <w:color w:val="auto"/>
                <w:w w:val="89"/>
              </w:rPr>
              <w:t>5,629,136</w:t>
            </w: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FF0FC"/>
          </w:tcPr>
          <w:p>
            <w:pPr>
              <w:ind w:left="520"/>
              <w:spacing w:after="0"/>
              <w:rPr>
                <w:sz w:val="20"/>
                <w:szCs w:val="20"/>
                <w:color w:val="auto"/>
              </w:rPr>
            </w:pPr>
            <w:r>
              <w:rPr>
                <w:rFonts w:ascii="Arial" w:cs="Arial" w:eastAsia="Arial" w:hAnsi="Arial"/>
                <w:sz w:val="11"/>
                <w:szCs w:val="11"/>
                <w:color w:val="auto"/>
              </w:rPr>
              <w:t>December 31, 2018</w:t>
            </w:r>
          </w:p>
        </w:tc>
        <w:tc>
          <w:tcPr>
            <w:tcW w:w="1020" w:type="dxa"/>
            <w:vAlign w:val="bottom"/>
            <w:gridSpan w:val="3"/>
            <w:shd w:val="clear" w:color="auto" w:fill="CFF0FC"/>
          </w:tcPr>
          <w:p>
            <w:pPr>
              <w:jc w:val="center"/>
              <w:ind w:right="60"/>
              <w:spacing w:after="0"/>
              <w:rPr>
                <w:sz w:val="20"/>
                <w:szCs w:val="20"/>
                <w:color w:val="auto"/>
              </w:rPr>
            </w:pPr>
            <w:r>
              <w:rPr>
                <w:rFonts w:ascii="Arial" w:cs="Arial" w:eastAsia="Arial" w:hAnsi="Arial"/>
                <w:sz w:val="11"/>
                <w:szCs w:val="11"/>
                <w:color w:val="auto"/>
                <w:w w:val="89"/>
              </w:rPr>
              <w:t>5,629,136</w:t>
            </w:r>
          </w:p>
        </w:tc>
        <w:tc>
          <w:tcPr>
            <w:tcW w:w="2480" w:type="dxa"/>
            <w:vAlign w:val="bottom"/>
            <w:gridSpan w:val="3"/>
            <w:shd w:val="clear" w:color="auto" w:fill="CFF0FC"/>
          </w:tcPr>
          <w:p>
            <w:pPr>
              <w:jc w:val="center"/>
              <w:ind w:right="160"/>
              <w:spacing w:after="0"/>
              <w:rPr>
                <w:sz w:val="20"/>
                <w:szCs w:val="20"/>
                <w:color w:val="auto"/>
              </w:rPr>
            </w:pPr>
            <w:r>
              <w:rPr>
                <w:rFonts w:ascii="Arial" w:cs="Arial" w:eastAsia="Arial" w:hAnsi="Arial"/>
                <w:sz w:val="11"/>
                <w:szCs w:val="11"/>
                <w:color w:val="auto"/>
                <w:w w:val="89"/>
              </w:rPr>
              <w:t>5,629,136</w:t>
            </w:r>
          </w:p>
        </w:tc>
        <w:tc>
          <w:tcPr>
            <w:tcW w:w="2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Accumulated other comprehensive income (loss)</w:t>
            </w: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46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1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64.8</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6,943.5</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7,275.3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Noncontrolling interests</w:t>
            </w:r>
          </w:p>
        </w:tc>
        <w:tc>
          <w:tcPr>
            <w:tcW w:w="2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46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1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1,460.4</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1,270.8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FF0FC"/>
          </w:tcPr>
          <w:p>
            <w:pPr>
              <w:ind w:left="520"/>
              <w:spacing w:after="0"/>
              <w:rPr>
                <w:sz w:val="20"/>
                <w:szCs w:val="20"/>
                <w:color w:val="auto"/>
              </w:rPr>
            </w:pPr>
            <w:r>
              <w:rPr>
                <w:rFonts w:ascii="Arial" w:cs="Arial" w:eastAsia="Arial" w:hAnsi="Arial"/>
                <w:sz w:val="11"/>
                <w:szCs w:val="11"/>
                <w:color w:val="auto"/>
              </w:rPr>
              <w:t>Total owners' equity</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8,403.9</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8,546.1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520"/>
              <w:spacing w:after="0"/>
              <w:rPr>
                <w:sz w:val="20"/>
                <w:szCs w:val="20"/>
                <w:color w:val="auto"/>
              </w:rPr>
            </w:pPr>
            <w:r>
              <w:rPr>
                <w:rFonts w:ascii="Arial" w:cs="Arial" w:eastAsia="Arial" w:hAnsi="Arial"/>
                <w:sz w:val="11"/>
                <w:szCs w:val="11"/>
                <w:color w:val="auto"/>
              </w:rPr>
              <w:t>Total liabilities and owners' equity</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gridSpan w:val="3"/>
          </w:tcPr>
          <w:p>
            <w:pPr>
              <w:spacing w:after="0"/>
              <w:rPr>
                <w:sz w:val="12"/>
                <w:szCs w:val="1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17,531.0</w:t>
            </w:r>
          </w:p>
        </w:tc>
        <w:tc>
          <w:tcPr>
            <w:tcW w:w="280" w:type="dxa"/>
            <w:vAlign w:val="bottom"/>
          </w:tcPr>
          <w:p>
            <w:pPr>
              <w:spacing w:after="0"/>
              <w:rPr>
                <w:sz w:val="12"/>
                <w:szCs w:val="12"/>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16,890.1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1"/>
          <w:szCs w:val="11"/>
          <w:color w:val="auto"/>
        </w:rPr>
        <w:t>See notes to consolidated financial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3"/>
          <w:szCs w:val="13"/>
          <w:b w:val="1"/>
          <w:bCs w:val="1"/>
          <w:color w:val="auto"/>
        </w:rPr>
        <w:t>TARGA RESOURCES PARTNERS LP</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0"/>
                <w:szCs w:val="10"/>
                <w:b w:val="1"/>
                <w:bCs w:val="1"/>
                <w:color w:val="auto"/>
                <w:w w:val="96"/>
              </w:rPr>
              <w:t>Three Months Ended March 31,</w:t>
            </w:r>
          </w:p>
        </w:tc>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960" w:type="dxa"/>
            <w:vAlign w:val="bottom"/>
            <w:tcBorders>
              <w:bottom w:val="single" w:sz="8" w:color="auto"/>
            </w:tcBorders>
          </w:tcPr>
          <w:p>
            <w:pPr>
              <w:jc w:val="right"/>
              <w:ind w:right="50"/>
              <w:spacing w:after="0" w:line="103" w:lineRule="exact"/>
              <w:rPr>
                <w:sz w:val="20"/>
                <w:szCs w:val="20"/>
                <w:color w:val="auto"/>
              </w:rPr>
            </w:pPr>
            <w:r>
              <w:rPr>
                <w:rFonts w:ascii="Arial" w:cs="Arial" w:eastAsia="Arial" w:hAnsi="Arial"/>
                <w:sz w:val="10"/>
                <w:szCs w:val="10"/>
                <w:b w:val="1"/>
                <w:bCs w:val="1"/>
                <w:color w:val="auto"/>
              </w:rPr>
              <w:t>2019</w:t>
            </w: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ind w:right="650"/>
              <w:spacing w:after="0" w:line="103"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20" w:type="dxa"/>
            <w:vAlign w:val="bottom"/>
            <w:gridSpan w:val="3"/>
          </w:tcPr>
          <w:p>
            <w:pPr>
              <w:jc w:val="right"/>
              <w:ind w:right="475"/>
              <w:spacing w:after="0" w:line="97" w:lineRule="exact"/>
              <w:rPr>
                <w:sz w:val="20"/>
                <w:szCs w:val="20"/>
                <w:color w:val="auto"/>
              </w:rPr>
            </w:pPr>
            <w:r>
              <w:rPr>
                <w:rFonts w:ascii="Arial" w:cs="Arial" w:eastAsia="Arial" w:hAnsi="Arial"/>
                <w:sz w:val="10"/>
                <w:szCs w:val="10"/>
                <w:b w:val="1"/>
                <w:bCs w:val="1"/>
                <w:color w:val="auto"/>
              </w:rPr>
              <w:t>(Unaudited)</w:t>
            </w: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7900" w:type="dxa"/>
            <w:vAlign w:val="bottom"/>
            <w:gridSpan w:val="2"/>
            <w:vMerge w:val="restart"/>
          </w:tcPr>
          <w:p>
            <w:pPr>
              <w:spacing w:after="0"/>
              <w:rPr>
                <w:sz w:val="20"/>
                <w:szCs w:val="20"/>
                <w:color w:val="auto"/>
              </w:rPr>
            </w:pPr>
            <w:r>
              <w:rPr>
                <w:rFonts w:ascii="Arial" w:cs="Arial" w:eastAsia="Arial" w:hAnsi="Arial"/>
                <w:sz w:val="10"/>
                <w:szCs w:val="10"/>
                <w:color w:val="auto"/>
              </w:rPr>
              <w:t>Revenues:</w:t>
            </w:r>
          </w:p>
        </w:tc>
        <w:tc>
          <w:tcPr>
            <w:tcW w:w="960" w:type="dxa"/>
            <w:vAlign w:val="bottom"/>
          </w:tcPr>
          <w:p>
            <w:pPr>
              <w:spacing w:after="0"/>
              <w:rPr>
                <w:sz w:val="11"/>
                <w:szCs w:val="11"/>
                <w:color w:val="auto"/>
              </w:rPr>
            </w:pPr>
          </w:p>
        </w:tc>
        <w:tc>
          <w:tcPr>
            <w:tcW w:w="1520" w:type="dxa"/>
            <w:vAlign w:val="bottom"/>
            <w:gridSpan w:val="3"/>
          </w:tcPr>
          <w:p>
            <w:pPr>
              <w:jc w:val="right"/>
              <w:ind w:right="475"/>
              <w:spacing w:after="0"/>
              <w:rPr>
                <w:sz w:val="20"/>
                <w:szCs w:val="20"/>
                <w:color w:val="auto"/>
              </w:rPr>
            </w:pPr>
            <w:r>
              <w:rPr>
                <w:rFonts w:ascii="Arial" w:cs="Arial" w:eastAsia="Arial" w:hAnsi="Arial"/>
                <w:sz w:val="10"/>
                <w:szCs w:val="10"/>
                <w:b w:val="1"/>
                <w:bCs w:val="1"/>
                <w:color w:val="auto"/>
              </w:rPr>
              <w:t>(In millions)</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790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shd w:val="clear" w:color="auto" w:fill="CFF0FC"/>
          </w:tcPr>
          <w:p>
            <w:pPr>
              <w:ind w:left="140"/>
              <w:spacing w:after="0" w:line="113" w:lineRule="exact"/>
              <w:rPr>
                <w:sz w:val="20"/>
                <w:szCs w:val="20"/>
                <w:color w:val="auto"/>
              </w:rPr>
            </w:pPr>
            <w:r>
              <w:rPr>
                <w:rFonts w:ascii="Arial" w:cs="Arial" w:eastAsia="Arial" w:hAnsi="Arial"/>
                <w:sz w:val="10"/>
                <w:szCs w:val="10"/>
                <w:color w:val="auto"/>
              </w:rPr>
              <w:t>Sales of commodities</w:t>
            </w:r>
          </w:p>
        </w:tc>
        <w:tc>
          <w:tcPr>
            <w:tcW w:w="960" w:type="dxa"/>
            <w:vAlign w:val="bottom"/>
            <w:shd w:val="clear" w:color="auto" w:fill="CFF0FC"/>
          </w:tcPr>
          <w:p>
            <w:pPr>
              <w:jc w:val="right"/>
              <w:ind w:right="890"/>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1,976.5</w:t>
            </w:r>
          </w:p>
        </w:tc>
        <w:tc>
          <w:tcPr>
            <w:tcW w:w="320" w:type="dxa"/>
            <w:vAlign w:val="bottom"/>
            <w:shd w:val="clear" w:color="auto" w:fill="CFF0FC"/>
          </w:tcPr>
          <w:p>
            <w:pPr>
              <w:spacing w:after="0"/>
              <w:rPr>
                <w:sz w:val="9"/>
                <w:szCs w:val="9"/>
                <w:color w:val="auto"/>
              </w:rPr>
            </w:pPr>
          </w:p>
        </w:tc>
        <w:tc>
          <w:tcPr>
            <w:tcW w:w="600" w:type="dxa"/>
            <w:vAlign w:val="bottom"/>
            <w:shd w:val="clear" w:color="auto" w:fill="CFF0FC"/>
          </w:tcPr>
          <w:p>
            <w:pPr>
              <w:jc w:val="right"/>
              <w:ind w:right="535"/>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2,173.7</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tcBorders>
              <w:bottom w:val="single" w:sz="8" w:color="CFF0FC"/>
            </w:tcBorders>
          </w:tcPr>
          <w:p>
            <w:pPr>
              <w:ind w:left="140"/>
              <w:spacing w:after="0" w:line="113" w:lineRule="exact"/>
              <w:rPr>
                <w:sz w:val="20"/>
                <w:szCs w:val="20"/>
                <w:color w:val="auto"/>
              </w:rPr>
            </w:pPr>
            <w:r>
              <w:rPr>
                <w:rFonts w:ascii="Arial" w:cs="Arial" w:eastAsia="Arial" w:hAnsi="Arial"/>
                <w:sz w:val="10"/>
                <w:szCs w:val="10"/>
                <w:color w:val="auto"/>
              </w:rPr>
              <w:t>Fees from midstream services</w:t>
            </w:r>
          </w:p>
        </w:tc>
        <w:tc>
          <w:tcPr>
            <w:tcW w:w="9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322.9</w:t>
            </w:r>
          </w:p>
        </w:tc>
        <w:tc>
          <w:tcPr>
            <w:tcW w:w="320" w:type="dxa"/>
            <w:vAlign w:val="bottom"/>
            <w:tcBorders>
              <w:bottom w:val="single" w:sz="8" w:color="CFF0FC"/>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281.9</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shd w:val="clear" w:color="auto" w:fill="CFF0FC"/>
          </w:tcPr>
          <w:p>
            <w:pPr>
              <w:ind w:left="140"/>
              <w:spacing w:after="0" w:line="103" w:lineRule="exact"/>
              <w:rPr>
                <w:sz w:val="20"/>
                <w:szCs w:val="20"/>
                <w:color w:val="auto"/>
              </w:rPr>
            </w:pPr>
            <w:r>
              <w:rPr>
                <w:rFonts w:ascii="Arial" w:cs="Arial" w:eastAsia="Arial" w:hAnsi="Arial"/>
                <w:sz w:val="10"/>
                <w:szCs w:val="10"/>
                <w:color w:val="auto"/>
              </w:rPr>
              <w:t>Total revenues</w:t>
            </w:r>
          </w:p>
        </w:tc>
        <w:tc>
          <w:tcPr>
            <w:tcW w:w="96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2,299.4</w:t>
            </w:r>
          </w:p>
        </w:tc>
        <w:tc>
          <w:tcPr>
            <w:tcW w:w="3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2,455.6</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tcPr>
          <w:p>
            <w:pPr>
              <w:spacing w:after="0" w:line="113" w:lineRule="exact"/>
              <w:rPr>
                <w:sz w:val="20"/>
                <w:szCs w:val="20"/>
                <w:color w:val="auto"/>
              </w:rPr>
            </w:pPr>
            <w:r>
              <w:rPr>
                <w:rFonts w:ascii="Arial" w:cs="Arial" w:eastAsia="Arial" w:hAnsi="Arial"/>
                <w:sz w:val="10"/>
                <w:szCs w:val="10"/>
                <w:color w:val="auto"/>
              </w:rPr>
              <w:t>Costs and expenses:</w:t>
            </w: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shd w:val="clear" w:color="auto" w:fill="CFF0FC"/>
          </w:tcPr>
          <w:p>
            <w:pPr>
              <w:ind w:left="140"/>
              <w:spacing w:after="0" w:line="113" w:lineRule="exact"/>
              <w:rPr>
                <w:sz w:val="20"/>
                <w:szCs w:val="20"/>
                <w:color w:val="auto"/>
              </w:rPr>
            </w:pPr>
            <w:r>
              <w:rPr>
                <w:rFonts w:ascii="Arial" w:cs="Arial" w:eastAsia="Arial" w:hAnsi="Arial"/>
                <w:sz w:val="10"/>
                <w:szCs w:val="10"/>
                <w:color w:val="auto"/>
              </w:rPr>
              <w:t>Product purchases</w:t>
            </w:r>
          </w:p>
        </w:tc>
        <w:tc>
          <w:tcPr>
            <w:tcW w:w="96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1,726.0</w:t>
            </w:r>
          </w:p>
        </w:tc>
        <w:tc>
          <w:tcPr>
            <w:tcW w:w="3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1,941.0</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tcPr>
          <w:p>
            <w:pPr>
              <w:ind w:left="140"/>
              <w:spacing w:after="0" w:line="113" w:lineRule="exact"/>
              <w:rPr>
                <w:sz w:val="20"/>
                <w:szCs w:val="20"/>
                <w:color w:val="auto"/>
              </w:rPr>
            </w:pPr>
            <w:r>
              <w:rPr>
                <w:rFonts w:ascii="Arial" w:cs="Arial" w:eastAsia="Arial" w:hAnsi="Arial"/>
                <w:sz w:val="10"/>
                <w:szCs w:val="10"/>
                <w:color w:val="auto"/>
              </w:rPr>
              <w:t>Operating expenses</w:t>
            </w:r>
          </w:p>
        </w:tc>
        <w:tc>
          <w:tcPr>
            <w:tcW w:w="96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190.2</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173.2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shd w:val="clear" w:color="auto" w:fill="CFF0FC"/>
          </w:tcPr>
          <w:p>
            <w:pPr>
              <w:ind w:left="140"/>
              <w:spacing w:after="0" w:line="113" w:lineRule="exact"/>
              <w:rPr>
                <w:sz w:val="20"/>
                <w:szCs w:val="20"/>
                <w:color w:val="auto"/>
              </w:rPr>
            </w:pPr>
            <w:r>
              <w:rPr>
                <w:rFonts w:ascii="Arial" w:cs="Arial" w:eastAsia="Arial" w:hAnsi="Arial"/>
                <w:sz w:val="10"/>
                <w:szCs w:val="10"/>
                <w:color w:val="auto"/>
              </w:rPr>
              <w:t>Depreciation and amortization expense</w:t>
            </w:r>
          </w:p>
        </w:tc>
        <w:tc>
          <w:tcPr>
            <w:tcW w:w="96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237.4</w:t>
            </w:r>
          </w:p>
        </w:tc>
        <w:tc>
          <w:tcPr>
            <w:tcW w:w="3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198.1</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tcPr>
          <w:p>
            <w:pPr>
              <w:ind w:left="140"/>
              <w:spacing w:after="0" w:line="113" w:lineRule="exact"/>
              <w:rPr>
                <w:sz w:val="20"/>
                <w:szCs w:val="20"/>
                <w:color w:val="auto"/>
              </w:rPr>
            </w:pPr>
            <w:r>
              <w:rPr>
                <w:rFonts w:ascii="Arial" w:cs="Arial" w:eastAsia="Arial" w:hAnsi="Arial"/>
                <w:sz w:val="10"/>
                <w:szCs w:val="10"/>
                <w:color w:val="auto"/>
              </w:rPr>
              <w:t>General and administrative expense</w:t>
            </w:r>
          </w:p>
        </w:tc>
        <w:tc>
          <w:tcPr>
            <w:tcW w:w="96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77.7</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52.6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shd w:val="clear" w:color="auto" w:fill="CFF0FC"/>
          </w:tcPr>
          <w:p>
            <w:pPr>
              <w:ind w:left="140"/>
              <w:spacing w:after="0" w:line="113" w:lineRule="exact"/>
              <w:rPr>
                <w:sz w:val="20"/>
                <w:szCs w:val="20"/>
                <w:color w:val="auto"/>
              </w:rPr>
            </w:pPr>
            <w:r>
              <w:rPr>
                <w:rFonts w:ascii="Arial" w:cs="Arial" w:eastAsia="Arial" w:hAnsi="Arial"/>
                <w:sz w:val="10"/>
                <w:szCs w:val="10"/>
                <w:color w:val="auto"/>
              </w:rPr>
              <w:t>Other operating (income) expense</w:t>
            </w:r>
          </w:p>
        </w:tc>
        <w:tc>
          <w:tcPr>
            <w:tcW w:w="96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3.4</w:t>
            </w:r>
          </w:p>
        </w:tc>
        <w:tc>
          <w:tcPr>
            <w:tcW w:w="320" w:type="dxa"/>
            <w:vAlign w:val="bottom"/>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spacing w:after="0"/>
              <w:rPr>
                <w:sz w:val="9"/>
                <w:szCs w:val="9"/>
                <w:color w:val="auto"/>
              </w:rPr>
            </w:pP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0.3</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900" w:type="dxa"/>
            <w:vAlign w:val="bottom"/>
            <w:gridSpan w:val="2"/>
          </w:tcPr>
          <w:p>
            <w:pPr>
              <w:spacing w:after="0" w:line="103" w:lineRule="exact"/>
              <w:rPr>
                <w:sz w:val="20"/>
                <w:szCs w:val="20"/>
                <w:color w:val="auto"/>
              </w:rPr>
            </w:pPr>
            <w:r>
              <w:rPr>
                <w:rFonts w:ascii="Arial" w:cs="Arial" w:eastAsia="Arial" w:hAnsi="Arial"/>
                <w:sz w:val="10"/>
                <w:szCs w:val="10"/>
                <w:color w:val="auto"/>
              </w:rPr>
              <w:t>Income (loss) from operations</w:t>
            </w:r>
          </w:p>
        </w:tc>
        <w:tc>
          <w:tcPr>
            <w:tcW w:w="96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Arial" w:cs="Arial" w:eastAsia="Arial" w:hAnsi="Arial"/>
                <w:sz w:val="10"/>
                <w:szCs w:val="10"/>
                <w:color w:val="auto"/>
              </w:rPr>
              <w:t>64.7</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jc w:val="right"/>
              <w:spacing w:after="0" w:line="103" w:lineRule="exact"/>
              <w:rPr>
                <w:sz w:val="20"/>
                <w:szCs w:val="20"/>
                <w:color w:val="auto"/>
              </w:rPr>
            </w:pPr>
            <w:r>
              <w:rPr>
                <w:rFonts w:ascii="Arial" w:cs="Arial" w:eastAsia="Arial" w:hAnsi="Arial"/>
                <w:sz w:val="10"/>
                <w:szCs w:val="10"/>
                <w:color w:val="auto"/>
              </w:rPr>
              <w:t>90.4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Other income (expense):</w:t>
            </w:r>
          </w:p>
        </w:tc>
        <w:tc>
          <w:tcPr>
            <w:tcW w:w="9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tcPr>
          <w:p>
            <w:pPr>
              <w:ind w:left="140"/>
              <w:spacing w:after="0" w:line="113" w:lineRule="exact"/>
              <w:rPr>
                <w:sz w:val="20"/>
                <w:szCs w:val="20"/>
                <w:color w:val="auto"/>
              </w:rPr>
            </w:pPr>
            <w:r>
              <w:rPr>
                <w:rFonts w:ascii="Arial" w:cs="Arial" w:eastAsia="Arial" w:hAnsi="Arial"/>
                <w:sz w:val="10"/>
                <w:szCs w:val="10"/>
                <w:color w:val="auto"/>
              </w:rPr>
              <w:t>Interest income (expense), net</w:t>
            </w:r>
          </w:p>
        </w:tc>
        <w:tc>
          <w:tcPr>
            <w:tcW w:w="960" w:type="dxa"/>
            <w:vAlign w:val="bottom"/>
          </w:tcPr>
          <w:p>
            <w:pPr>
              <w:spacing w:after="0"/>
              <w:rPr>
                <w:sz w:val="9"/>
                <w:szCs w:val="9"/>
                <w:color w:val="auto"/>
              </w:rPr>
            </w:pPr>
          </w:p>
        </w:tc>
        <w:tc>
          <w:tcPr>
            <w:tcW w:w="92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(75.4)</w:t>
            </w:r>
          </w:p>
        </w:tc>
        <w:tc>
          <w:tcPr>
            <w:tcW w:w="60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20.2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shd w:val="clear" w:color="auto" w:fill="CFF0FC"/>
          </w:tcPr>
          <w:p>
            <w:pPr>
              <w:ind w:left="140"/>
              <w:spacing w:after="0" w:line="113" w:lineRule="exact"/>
              <w:rPr>
                <w:sz w:val="20"/>
                <w:szCs w:val="20"/>
                <w:color w:val="auto"/>
              </w:rPr>
            </w:pPr>
            <w:r>
              <w:rPr>
                <w:rFonts w:ascii="Arial" w:cs="Arial" w:eastAsia="Arial" w:hAnsi="Arial"/>
                <w:sz w:val="10"/>
                <w:szCs w:val="10"/>
                <w:color w:val="auto"/>
              </w:rPr>
              <w:t>Equity earnings (loss)</w:t>
            </w:r>
          </w:p>
        </w:tc>
        <w:tc>
          <w:tcPr>
            <w:tcW w:w="96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2.8</w:t>
            </w:r>
          </w:p>
        </w:tc>
        <w:tc>
          <w:tcPr>
            <w:tcW w:w="3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1.5</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tcPr>
          <w:p>
            <w:pPr>
              <w:ind w:left="140"/>
              <w:spacing w:after="0" w:line="113" w:lineRule="exact"/>
              <w:rPr>
                <w:sz w:val="20"/>
                <w:szCs w:val="20"/>
                <w:color w:val="auto"/>
              </w:rPr>
            </w:pPr>
            <w:r>
              <w:rPr>
                <w:rFonts w:ascii="Arial" w:cs="Arial" w:eastAsia="Arial" w:hAnsi="Arial"/>
                <w:sz w:val="10"/>
                <w:szCs w:val="10"/>
                <w:color w:val="auto"/>
              </w:rPr>
              <w:t>Gain (loss) from financing activities</w:t>
            </w:r>
          </w:p>
        </w:tc>
        <w:tc>
          <w:tcPr>
            <w:tcW w:w="960" w:type="dxa"/>
            <w:vAlign w:val="bottom"/>
          </w:tcPr>
          <w:p>
            <w:pPr>
              <w:spacing w:after="0"/>
              <w:rPr>
                <w:sz w:val="9"/>
                <w:szCs w:val="9"/>
                <w:color w:val="auto"/>
              </w:rPr>
            </w:pPr>
          </w:p>
        </w:tc>
        <w:tc>
          <w:tcPr>
            <w:tcW w:w="92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(1.4)</w:t>
            </w:r>
          </w:p>
        </w:tc>
        <w:tc>
          <w:tcPr>
            <w:tcW w:w="600" w:type="dxa"/>
            <w:vAlign w:val="bottom"/>
          </w:tcPr>
          <w:p>
            <w:pPr>
              <w:spacing w:after="0"/>
              <w:rPr>
                <w:sz w:val="9"/>
                <w:szCs w:val="9"/>
                <w:color w:val="auto"/>
              </w:rPr>
            </w:pPr>
          </w:p>
        </w:tc>
        <w:tc>
          <w:tcPr>
            <w:tcW w:w="11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shd w:val="clear" w:color="auto" w:fill="CFF0FC"/>
          </w:tcPr>
          <w:p>
            <w:pPr>
              <w:ind w:left="140"/>
              <w:spacing w:after="0" w:line="113" w:lineRule="exact"/>
              <w:rPr>
                <w:sz w:val="20"/>
                <w:szCs w:val="20"/>
                <w:color w:val="auto"/>
              </w:rPr>
            </w:pPr>
            <w:r>
              <w:rPr>
                <w:rFonts w:ascii="Arial" w:cs="Arial" w:eastAsia="Arial" w:hAnsi="Arial"/>
                <w:sz w:val="10"/>
                <w:szCs w:val="10"/>
                <w:color w:val="auto"/>
              </w:rPr>
              <w:t>Change in contingent considerations</w:t>
            </w:r>
          </w:p>
        </w:tc>
        <w:tc>
          <w:tcPr>
            <w:tcW w:w="9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80"/>
              <w:spacing w:after="0" w:line="113" w:lineRule="exact"/>
              <w:rPr>
                <w:sz w:val="20"/>
                <w:szCs w:val="20"/>
                <w:color w:val="auto"/>
              </w:rPr>
            </w:pPr>
            <w:r>
              <w:rPr>
                <w:rFonts w:ascii="Arial" w:cs="Arial" w:eastAsia="Arial" w:hAnsi="Arial"/>
                <w:sz w:val="10"/>
                <w:szCs w:val="10"/>
                <w:color w:val="auto"/>
              </w:rPr>
              <w:t>(9.7)</w:t>
            </w:r>
          </w:p>
        </w:tc>
        <w:tc>
          <w:tcPr>
            <w:tcW w:w="6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(56.1)</w:t>
            </w:r>
          </w:p>
        </w:tc>
        <w:tc>
          <w:tcPr>
            <w:tcW w:w="0" w:type="dxa"/>
            <w:vAlign w:val="bottom"/>
          </w:tcPr>
          <w:p>
            <w:pPr>
              <w:spacing w:after="0"/>
              <w:rPr>
                <w:sz w:val="1"/>
                <w:szCs w:val="1"/>
                <w:color w:val="auto"/>
              </w:rPr>
            </w:pPr>
          </w:p>
        </w:tc>
      </w:tr>
      <w:tr>
        <w:trPr>
          <w:trHeight w:val="102"/>
        </w:trPr>
        <w:tc>
          <w:tcPr>
            <w:tcW w:w="7900" w:type="dxa"/>
            <w:vAlign w:val="bottom"/>
            <w:gridSpan w:val="2"/>
          </w:tcPr>
          <w:p>
            <w:pPr>
              <w:spacing w:after="0" w:line="103" w:lineRule="exact"/>
              <w:rPr>
                <w:sz w:val="20"/>
                <w:szCs w:val="20"/>
                <w:color w:val="auto"/>
              </w:rPr>
            </w:pPr>
            <w:r>
              <w:rPr>
                <w:rFonts w:ascii="Arial" w:cs="Arial" w:eastAsia="Arial" w:hAnsi="Arial"/>
                <w:sz w:val="10"/>
                <w:szCs w:val="10"/>
                <w:color w:val="auto"/>
              </w:rPr>
              <w:t>Income (loss) before income taxes</w:t>
            </w:r>
          </w:p>
        </w:tc>
        <w:tc>
          <w:tcPr>
            <w:tcW w:w="9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(19.0)</w:t>
            </w:r>
          </w:p>
        </w:tc>
        <w:tc>
          <w:tcPr>
            <w:tcW w:w="3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56.0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Income tax (expense) benefit</w:t>
            </w:r>
          </w:p>
        </w:tc>
        <w:tc>
          <w:tcPr>
            <w:tcW w:w="9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320"/>
              <w:spacing w:after="0" w:line="113" w:lineRule="exact"/>
              <w:rPr>
                <w:sz w:val="20"/>
                <w:szCs w:val="20"/>
                <w:color w:val="auto"/>
              </w:rPr>
            </w:pPr>
            <w:r>
              <w:rPr>
                <w:rFonts w:ascii="Arial" w:cs="Arial" w:eastAsia="Arial" w:hAnsi="Arial"/>
                <w:sz w:val="10"/>
                <w:szCs w:val="10"/>
                <w:color w:val="auto"/>
              </w:rPr>
              <w:t>—</w:t>
            </w:r>
          </w:p>
        </w:tc>
        <w:tc>
          <w:tcPr>
            <w:tcW w:w="6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2"/>
        </w:trPr>
        <w:tc>
          <w:tcPr>
            <w:tcW w:w="7900" w:type="dxa"/>
            <w:vAlign w:val="bottom"/>
            <w:gridSpan w:val="2"/>
          </w:tcPr>
          <w:p>
            <w:pPr>
              <w:spacing w:after="0" w:line="103" w:lineRule="exact"/>
              <w:rPr>
                <w:sz w:val="20"/>
                <w:szCs w:val="20"/>
                <w:color w:val="auto"/>
              </w:rPr>
            </w:pPr>
            <w:r>
              <w:rPr>
                <w:rFonts w:ascii="Arial" w:cs="Arial" w:eastAsia="Arial" w:hAnsi="Arial"/>
                <w:sz w:val="10"/>
                <w:szCs w:val="10"/>
                <w:color w:val="auto"/>
              </w:rPr>
              <w:t>Net income (loss)</w:t>
            </w:r>
          </w:p>
        </w:tc>
        <w:tc>
          <w:tcPr>
            <w:tcW w:w="9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(19.0)</w:t>
            </w:r>
          </w:p>
        </w:tc>
        <w:tc>
          <w:tcPr>
            <w:tcW w:w="3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56.0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Less: Net income (loss) attributable to noncontrolling interests</w:t>
            </w:r>
          </w:p>
        </w:tc>
        <w:tc>
          <w:tcPr>
            <w:tcW w:w="96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11.4</w:t>
            </w:r>
          </w:p>
        </w:tc>
        <w:tc>
          <w:tcPr>
            <w:tcW w:w="320" w:type="dxa"/>
            <w:vAlign w:val="bottom"/>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spacing w:after="0"/>
              <w:rPr>
                <w:sz w:val="9"/>
                <w:szCs w:val="9"/>
                <w:color w:val="auto"/>
              </w:rPr>
            </w:pP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13.2</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900" w:type="dxa"/>
            <w:vAlign w:val="bottom"/>
            <w:gridSpan w:val="2"/>
          </w:tcPr>
          <w:p>
            <w:pPr>
              <w:spacing w:after="0" w:line="103" w:lineRule="exact"/>
              <w:rPr>
                <w:sz w:val="20"/>
                <w:szCs w:val="20"/>
                <w:color w:val="auto"/>
              </w:rPr>
            </w:pPr>
            <w:r>
              <w:rPr>
                <w:rFonts w:ascii="Arial" w:cs="Arial" w:eastAsia="Arial" w:hAnsi="Arial"/>
                <w:sz w:val="10"/>
                <w:szCs w:val="10"/>
                <w:color w:val="auto"/>
              </w:rPr>
              <w:t>Net income (loss) attributable to Targa Resources Partners LP</w:t>
            </w:r>
          </w:p>
        </w:tc>
        <w:tc>
          <w:tcPr>
            <w:tcW w:w="960" w:type="dxa"/>
            <w:vAlign w:val="bottom"/>
          </w:tcPr>
          <w:p>
            <w:pPr>
              <w:jc w:val="right"/>
              <w:ind w:right="890"/>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line="103" w:lineRule="exact"/>
              <w:rPr>
                <w:sz w:val="20"/>
                <w:szCs w:val="20"/>
                <w:color w:val="auto"/>
              </w:rPr>
            </w:pPr>
            <w:r>
              <w:rPr>
                <w:rFonts w:ascii="Arial" w:cs="Arial" w:eastAsia="Arial" w:hAnsi="Arial"/>
                <w:sz w:val="10"/>
                <w:szCs w:val="10"/>
                <w:color w:val="auto"/>
              </w:rPr>
              <w:t>(30.4)</w:t>
            </w:r>
          </w:p>
        </w:tc>
        <w:tc>
          <w:tcPr>
            <w:tcW w:w="320" w:type="dxa"/>
            <w:vAlign w:val="bottom"/>
          </w:tcPr>
          <w:p>
            <w:pPr>
              <w:spacing w:after="0"/>
              <w:rPr>
                <w:sz w:val="9"/>
                <w:szCs w:val="9"/>
                <w:color w:val="auto"/>
              </w:rPr>
            </w:pPr>
          </w:p>
        </w:tc>
        <w:tc>
          <w:tcPr>
            <w:tcW w:w="600" w:type="dxa"/>
            <w:vAlign w:val="bottom"/>
          </w:tcPr>
          <w:p>
            <w:pPr>
              <w:jc w:val="right"/>
              <w:ind w:right="535"/>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spacing w:after="0" w:line="103" w:lineRule="exact"/>
              <w:rPr>
                <w:sz w:val="20"/>
                <w:szCs w:val="20"/>
                <w:color w:val="auto"/>
              </w:rPr>
            </w:pPr>
            <w:r>
              <w:rPr>
                <w:rFonts w:ascii="Arial" w:cs="Arial" w:eastAsia="Arial" w:hAnsi="Arial"/>
                <w:sz w:val="10"/>
                <w:szCs w:val="10"/>
                <w:color w:val="auto"/>
              </w:rPr>
              <w:t>42.8</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7880" w:type="dxa"/>
            <w:vAlign w:val="bottom"/>
            <w:tcBorders>
              <w:top w:val="single" w:sz="8" w:color="CFF0FC"/>
            </w:tcBorders>
            <w:shd w:val="clear" w:color="auto" w:fill="CFF0FC"/>
          </w:tcPr>
          <w:p>
            <w:pPr>
              <w:spacing w:after="0"/>
              <w:rPr>
                <w:sz w:val="9"/>
                <w:szCs w:val="9"/>
                <w:color w:val="auto"/>
              </w:rPr>
            </w:pPr>
          </w:p>
        </w:tc>
        <w:tc>
          <w:tcPr>
            <w:tcW w:w="96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320" w:type="dxa"/>
            <w:vAlign w:val="bottom"/>
            <w:tcBorders>
              <w:top w:val="single" w:sz="8" w:color="CFF0FC"/>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7880" w:type="dxa"/>
            <w:vAlign w:val="bottom"/>
          </w:tcPr>
          <w:p>
            <w:pPr>
              <w:spacing w:after="0" w:line="113" w:lineRule="exact"/>
              <w:rPr>
                <w:sz w:val="20"/>
                <w:szCs w:val="20"/>
                <w:color w:val="auto"/>
              </w:rPr>
            </w:pPr>
            <w:r>
              <w:rPr>
                <w:rFonts w:ascii="Arial" w:cs="Arial" w:eastAsia="Arial" w:hAnsi="Arial"/>
                <w:sz w:val="10"/>
                <w:szCs w:val="10"/>
                <w:color w:val="auto"/>
              </w:rPr>
              <w:t>Net income attributable to preferred limited partners</w:t>
            </w:r>
          </w:p>
        </w:tc>
        <w:tc>
          <w:tcPr>
            <w:tcW w:w="960" w:type="dxa"/>
            <w:vAlign w:val="bottom"/>
          </w:tcPr>
          <w:p>
            <w:pPr>
              <w:jc w:val="right"/>
              <w:ind w:right="890"/>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2.8</w:t>
            </w:r>
          </w:p>
        </w:tc>
        <w:tc>
          <w:tcPr>
            <w:tcW w:w="320" w:type="dxa"/>
            <w:vAlign w:val="bottom"/>
          </w:tcPr>
          <w:p>
            <w:pPr>
              <w:spacing w:after="0"/>
              <w:rPr>
                <w:sz w:val="9"/>
                <w:szCs w:val="9"/>
                <w:color w:val="auto"/>
              </w:rPr>
            </w:pPr>
          </w:p>
        </w:tc>
        <w:tc>
          <w:tcPr>
            <w:tcW w:w="600" w:type="dxa"/>
            <w:vAlign w:val="bottom"/>
          </w:tcPr>
          <w:p>
            <w:pPr>
              <w:jc w:val="right"/>
              <w:ind w:right="535"/>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2.8</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Net income (loss) attributable to general partner</w:t>
            </w:r>
          </w:p>
        </w:tc>
        <w:tc>
          <w:tcPr>
            <w:tcW w:w="9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80"/>
              <w:spacing w:after="0" w:line="113" w:lineRule="exact"/>
              <w:rPr>
                <w:sz w:val="20"/>
                <w:szCs w:val="20"/>
                <w:color w:val="auto"/>
              </w:rPr>
            </w:pPr>
            <w:r>
              <w:rPr>
                <w:rFonts w:ascii="Arial" w:cs="Arial" w:eastAsia="Arial" w:hAnsi="Arial"/>
                <w:sz w:val="10"/>
                <w:szCs w:val="10"/>
                <w:color w:val="auto"/>
              </w:rPr>
              <w:t>(0.7)</w:t>
            </w:r>
          </w:p>
        </w:tc>
        <w:tc>
          <w:tcPr>
            <w:tcW w:w="60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0.8</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80" w:type="dxa"/>
            <w:vAlign w:val="bottom"/>
          </w:tcPr>
          <w:p>
            <w:pPr>
              <w:spacing w:after="0" w:line="113" w:lineRule="exact"/>
              <w:rPr>
                <w:sz w:val="20"/>
                <w:szCs w:val="20"/>
                <w:color w:val="auto"/>
              </w:rPr>
            </w:pPr>
            <w:r>
              <w:rPr>
                <w:rFonts w:ascii="Arial" w:cs="Arial" w:eastAsia="Arial" w:hAnsi="Arial"/>
                <w:sz w:val="10"/>
                <w:szCs w:val="10"/>
                <w:color w:val="auto"/>
              </w:rPr>
              <w:t>Net income (loss) attributable to common limited partners</w:t>
            </w:r>
          </w:p>
        </w:tc>
        <w:tc>
          <w:tcPr>
            <w:tcW w:w="960" w:type="dxa"/>
            <w:vAlign w:val="bottom"/>
          </w:tcPr>
          <w:p>
            <w:pPr>
              <w:spacing w:after="0"/>
              <w:rPr>
                <w:sz w:val="9"/>
                <w:szCs w:val="9"/>
                <w:color w:val="auto"/>
              </w:rPr>
            </w:pPr>
          </w:p>
        </w:tc>
        <w:tc>
          <w:tcPr>
            <w:tcW w:w="92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(32.5)</w:t>
            </w:r>
          </w:p>
        </w:tc>
        <w:tc>
          <w:tcPr>
            <w:tcW w:w="60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39.2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shd w:val="clear" w:color="auto" w:fill="CFF0FC"/>
          </w:tcPr>
          <w:p>
            <w:pPr>
              <w:spacing w:after="0"/>
              <w:rPr>
                <w:sz w:val="20"/>
                <w:szCs w:val="20"/>
                <w:color w:val="auto"/>
              </w:rPr>
            </w:pPr>
            <w:r>
              <w:rPr>
                <w:rFonts w:ascii="Arial" w:cs="Arial" w:eastAsia="Arial" w:hAnsi="Arial"/>
                <w:sz w:val="10"/>
                <w:szCs w:val="10"/>
                <w:color w:val="auto"/>
              </w:rPr>
              <w:t>Net income (loss) attributable to Targa Resources Partners LP</w:t>
            </w: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vMerge w:val="continue"/>
            <w:shd w:val="clear" w:color="auto" w:fill="CFF0FC"/>
          </w:tcPr>
          <w:p>
            <w:pPr>
              <w:spacing w:after="0"/>
              <w:rPr>
                <w:sz w:val="8"/>
                <w:szCs w:val="8"/>
                <w:color w:val="auto"/>
              </w:rPr>
            </w:pPr>
          </w:p>
        </w:tc>
        <w:tc>
          <w:tcPr>
            <w:tcW w:w="960" w:type="dxa"/>
            <w:vAlign w:val="bottom"/>
            <w:shd w:val="clear" w:color="auto" w:fill="CFF0FC"/>
          </w:tcPr>
          <w:p>
            <w:pPr>
              <w:jc w:val="right"/>
              <w:ind w:right="890"/>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FF0FC"/>
          </w:tcPr>
          <w:p>
            <w:pPr>
              <w:jc w:val="right"/>
              <w:ind w:right="280"/>
              <w:spacing w:after="0" w:line="103" w:lineRule="exact"/>
              <w:rPr>
                <w:sz w:val="20"/>
                <w:szCs w:val="20"/>
                <w:color w:val="auto"/>
              </w:rPr>
            </w:pPr>
            <w:r>
              <w:rPr>
                <w:rFonts w:ascii="Arial" w:cs="Arial" w:eastAsia="Arial" w:hAnsi="Arial"/>
                <w:sz w:val="10"/>
                <w:szCs w:val="10"/>
                <w:color w:val="auto"/>
              </w:rPr>
              <w:t>(30.4)</w:t>
            </w:r>
          </w:p>
        </w:tc>
        <w:tc>
          <w:tcPr>
            <w:tcW w:w="600" w:type="dxa"/>
            <w:vAlign w:val="bottom"/>
            <w:shd w:val="clear" w:color="auto" w:fill="CFF0FC"/>
          </w:tcPr>
          <w:p>
            <w:pPr>
              <w:jc w:val="right"/>
              <w:ind w:right="535"/>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42.8</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8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See notes to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3"/>
          <w:szCs w:val="13"/>
          <w:b w:val="1"/>
          <w:bCs w:val="1"/>
          <w:color w:val="auto"/>
        </w:rPr>
        <w:t>TARGA RESOURCES PARTNERS LP</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STATEMENTS OF COMPREHENSIVE INCOME (LOSS)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52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0"/>
                <w:szCs w:val="10"/>
                <w:b w:val="1"/>
                <w:bCs w:val="1"/>
                <w:color w:val="auto"/>
              </w:rPr>
              <w:t>Three Months Ended March 31,</w:t>
            </w: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02"/>
        </w:trPr>
        <w:tc>
          <w:tcPr>
            <w:tcW w:w="52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80" w:type="dxa"/>
            <w:vAlign w:val="bottom"/>
            <w:tcBorders>
              <w:bottom w:val="single" w:sz="8" w:color="auto"/>
            </w:tcBorders>
          </w:tcPr>
          <w:p>
            <w:pPr>
              <w:jc w:val="right"/>
              <w:ind w:right="142"/>
              <w:spacing w:after="0" w:line="103" w:lineRule="exact"/>
              <w:rPr>
                <w:sz w:val="20"/>
                <w:szCs w:val="20"/>
                <w:color w:val="auto"/>
              </w:rPr>
            </w:pPr>
            <w:r>
              <w:rPr>
                <w:rFonts w:ascii="Arial" w:cs="Arial" w:eastAsia="Arial" w:hAnsi="Arial"/>
                <w:sz w:val="10"/>
                <w:szCs w:val="10"/>
                <w:b w:val="1"/>
                <w:bCs w:val="1"/>
                <w:color w:val="auto"/>
              </w:rPr>
              <w:t>2019</w:t>
            </w:r>
          </w:p>
        </w:tc>
        <w:tc>
          <w:tcPr>
            <w:tcW w:w="5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670"/>
              <w:spacing w:after="0" w:line="103"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r>
      <w:tr>
        <w:trPr>
          <w:trHeight w:val="97"/>
        </w:trPr>
        <w:tc>
          <w:tcPr>
            <w:tcW w:w="52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510"/>
              <w:spacing w:after="0" w:line="97" w:lineRule="exact"/>
              <w:rPr>
                <w:sz w:val="20"/>
                <w:szCs w:val="20"/>
                <w:color w:val="auto"/>
              </w:rPr>
            </w:pPr>
            <w:r>
              <w:rPr>
                <w:rFonts w:ascii="Arial" w:cs="Arial" w:eastAsia="Arial" w:hAnsi="Arial"/>
                <w:sz w:val="10"/>
                <w:szCs w:val="10"/>
                <w:b w:val="1"/>
                <w:bCs w:val="1"/>
                <w:color w:val="auto"/>
                <w:w w:val="89"/>
              </w:rPr>
              <w:t>(Unaudited)</w:t>
            </w: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8"/>
        </w:trPr>
        <w:tc>
          <w:tcPr>
            <w:tcW w:w="52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jc w:val="right"/>
              <w:ind w:right="550"/>
              <w:spacing w:after="0"/>
              <w:rPr>
                <w:sz w:val="20"/>
                <w:szCs w:val="20"/>
                <w:color w:val="auto"/>
              </w:rPr>
            </w:pPr>
            <w:r>
              <w:rPr>
                <w:rFonts w:ascii="Arial" w:cs="Arial" w:eastAsia="Arial" w:hAnsi="Arial"/>
                <w:sz w:val="10"/>
                <w:szCs w:val="10"/>
                <w:b w:val="1"/>
                <w:bCs w:val="1"/>
                <w:color w:val="auto"/>
                <w:w w:val="92"/>
              </w:rPr>
              <w:t>(In millions)</w:t>
            </w: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3"/>
        </w:trPr>
        <w:tc>
          <w:tcPr>
            <w:tcW w:w="524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Net income (loss)</w:t>
            </w:r>
          </w:p>
        </w:tc>
        <w:tc>
          <w:tcPr>
            <w:tcW w:w="3320" w:type="dxa"/>
            <w:vAlign w:val="bottom"/>
            <w:gridSpan w:val="2"/>
            <w:shd w:val="clear" w:color="auto" w:fill="CFF0FC"/>
          </w:tcPr>
          <w:p>
            <w:pPr>
              <w:jc w:val="right"/>
              <w:ind w:right="1002"/>
              <w:spacing w:after="0" w:line="113"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FF0FC"/>
          </w:tcPr>
          <w:p>
            <w:pPr>
              <w:jc w:val="right"/>
              <w:ind w:right="20"/>
              <w:spacing w:after="0" w:line="113" w:lineRule="exact"/>
              <w:rPr>
                <w:sz w:val="20"/>
                <w:szCs w:val="20"/>
                <w:color w:val="auto"/>
              </w:rPr>
            </w:pPr>
            <w:r>
              <w:rPr>
                <w:rFonts w:ascii="Arial" w:cs="Arial" w:eastAsia="Arial" w:hAnsi="Arial"/>
                <w:sz w:val="10"/>
                <w:szCs w:val="10"/>
                <w:color w:val="auto"/>
              </w:rPr>
              <w:t>(19.0)</w:t>
            </w:r>
          </w:p>
        </w:tc>
        <w:tc>
          <w:tcPr>
            <w:tcW w:w="1140" w:type="dxa"/>
            <w:vAlign w:val="bottom"/>
            <w:gridSpan w:val="3"/>
            <w:shd w:val="clear" w:color="auto" w:fill="CFF0FC"/>
          </w:tcPr>
          <w:p>
            <w:pPr>
              <w:jc w:val="right"/>
              <w:ind w:right="430"/>
              <w:spacing w:after="0" w:line="113" w:lineRule="exact"/>
              <w:rPr>
                <w:sz w:val="20"/>
                <w:szCs w:val="20"/>
                <w:color w:val="auto"/>
              </w:rPr>
            </w:pPr>
            <w:r>
              <w:rPr>
                <w:rFonts w:ascii="Arial" w:cs="Arial" w:eastAsia="Arial" w:hAnsi="Arial"/>
                <w:sz w:val="10"/>
                <w:szCs w:val="10"/>
                <w:color w:val="auto"/>
              </w:rPr>
              <w:t>$</w:t>
            </w:r>
          </w:p>
        </w:tc>
        <w:tc>
          <w:tcPr>
            <w:tcW w:w="10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56.0</w:t>
            </w:r>
          </w:p>
        </w:tc>
        <w:tc>
          <w:tcPr>
            <w:tcW w:w="120" w:type="dxa"/>
            <w:vAlign w:val="bottom"/>
            <w:shd w:val="clear" w:color="auto" w:fill="CFF0FC"/>
          </w:tcPr>
          <w:p>
            <w:pPr>
              <w:spacing w:after="0"/>
              <w:rPr>
                <w:sz w:val="9"/>
                <w:szCs w:val="9"/>
                <w:color w:val="auto"/>
              </w:rPr>
            </w:pPr>
          </w:p>
        </w:tc>
      </w:tr>
      <w:tr>
        <w:trPr>
          <w:trHeight w:val="113"/>
        </w:trPr>
        <w:tc>
          <w:tcPr>
            <w:tcW w:w="5240" w:type="dxa"/>
            <w:vAlign w:val="bottom"/>
          </w:tcPr>
          <w:p>
            <w:pPr>
              <w:spacing w:after="0" w:line="113" w:lineRule="exact"/>
              <w:rPr>
                <w:sz w:val="20"/>
                <w:szCs w:val="20"/>
                <w:color w:val="auto"/>
              </w:rPr>
            </w:pPr>
            <w:r>
              <w:rPr>
                <w:rFonts w:ascii="Arial" w:cs="Arial" w:eastAsia="Arial" w:hAnsi="Arial"/>
                <w:sz w:val="10"/>
                <w:szCs w:val="10"/>
                <w:color w:val="auto"/>
              </w:rPr>
              <w:t>Other comprehensive income (loss):</w:t>
            </w:r>
          </w:p>
        </w:tc>
        <w:tc>
          <w:tcPr>
            <w:tcW w:w="2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3"/>
        </w:trPr>
        <w:tc>
          <w:tcPr>
            <w:tcW w:w="524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Commodity hedging contracts:</w:t>
            </w:r>
          </w:p>
        </w:tc>
        <w:tc>
          <w:tcPr>
            <w:tcW w:w="22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13"/>
        </w:trPr>
        <w:tc>
          <w:tcPr>
            <w:tcW w:w="5240" w:type="dxa"/>
            <w:vAlign w:val="bottom"/>
          </w:tcPr>
          <w:p>
            <w:pPr>
              <w:ind w:left="340"/>
              <w:spacing w:after="0" w:line="113" w:lineRule="exact"/>
              <w:rPr>
                <w:sz w:val="20"/>
                <w:szCs w:val="20"/>
                <w:color w:val="auto"/>
              </w:rPr>
            </w:pPr>
            <w:r>
              <w:rPr>
                <w:rFonts w:ascii="Arial" w:cs="Arial" w:eastAsia="Arial" w:hAnsi="Arial"/>
                <w:sz w:val="10"/>
                <w:szCs w:val="10"/>
                <w:color w:val="auto"/>
              </w:rPr>
              <w:t>Change in fair value</w:t>
            </w:r>
          </w:p>
        </w:tc>
        <w:tc>
          <w:tcPr>
            <w:tcW w:w="2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(38.8)</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Arial" w:cs="Arial" w:eastAsia="Arial" w:hAnsi="Arial"/>
                <w:sz w:val="10"/>
                <w:szCs w:val="10"/>
                <w:color w:val="auto"/>
              </w:rPr>
              <w:t>64.6</w:t>
            </w:r>
          </w:p>
        </w:tc>
        <w:tc>
          <w:tcPr>
            <w:tcW w:w="120" w:type="dxa"/>
            <w:vAlign w:val="bottom"/>
          </w:tcPr>
          <w:p>
            <w:pPr>
              <w:spacing w:after="0"/>
              <w:rPr>
                <w:sz w:val="9"/>
                <w:szCs w:val="9"/>
                <w:color w:val="auto"/>
              </w:rPr>
            </w:pPr>
          </w:p>
        </w:tc>
      </w:tr>
      <w:tr>
        <w:trPr>
          <w:trHeight w:val="113"/>
        </w:trPr>
        <w:tc>
          <w:tcPr>
            <w:tcW w:w="5240" w:type="dxa"/>
            <w:vAlign w:val="bottom"/>
            <w:shd w:val="clear" w:color="auto" w:fill="CFF0FC"/>
          </w:tcPr>
          <w:p>
            <w:pPr>
              <w:ind w:left="340"/>
              <w:spacing w:after="0" w:line="113" w:lineRule="exact"/>
              <w:rPr>
                <w:sz w:val="20"/>
                <w:szCs w:val="20"/>
                <w:color w:val="auto"/>
              </w:rPr>
            </w:pPr>
            <w:r>
              <w:rPr>
                <w:rFonts w:ascii="Arial" w:cs="Arial" w:eastAsia="Arial" w:hAnsi="Arial"/>
                <w:sz w:val="10"/>
                <w:szCs w:val="10"/>
                <w:color w:val="auto"/>
              </w:rPr>
              <w:t>Settlements reclassified to revenues</w:t>
            </w:r>
          </w:p>
        </w:tc>
        <w:tc>
          <w:tcPr>
            <w:tcW w:w="22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ind w:right="20"/>
              <w:spacing w:after="0" w:line="113" w:lineRule="exact"/>
              <w:rPr>
                <w:sz w:val="20"/>
                <w:szCs w:val="20"/>
                <w:color w:val="auto"/>
              </w:rPr>
            </w:pPr>
            <w:r>
              <w:rPr>
                <w:rFonts w:ascii="Arial" w:cs="Arial" w:eastAsia="Arial" w:hAnsi="Arial"/>
                <w:sz w:val="10"/>
                <w:szCs w:val="10"/>
                <w:color w:val="auto"/>
              </w:rPr>
              <w:t>(21.3)</w:t>
            </w: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26.7</w:t>
            </w:r>
          </w:p>
        </w:tc>
        <w:tc>
          <w:tcPr>
            <w:tcW w:w="120" w:type="dxa"/>
            <w:vAlign w:val="bottom"/>
            <w:shd w:val="clear" w:color="auto" w:fill="CFF0FC"/>
          </w:tcPr>
          <w:p>
            <w:pPr>
              <w:spacing w:after="0"/>
              <w:rPr>
                <w:sz w:val="9"/>
                <w:szCs w:val="9"/>
                <w:color w:val="auto"/>
              </w:rPr>
            </w:pPr>
          </w:p>
        </w:tc>
      </w:tr>
      <w:tr>
        <w:trPr>
          <w:trHeight w:val="102"/>
        </w:trPr>
        <w:tc>
          <w:tcPr>
            <w:tcW w:w="5240" w:type="dxa"/>
            <w:vAlign w:val="bottom"/>
            <w:tcBorders>
              <w:bottom w:val="single" w:sz="8" w:color="CFF0FC"/>
            </w:tcBorders>
          </w:tcPr>
          <w:p>
            <w:pPr>
              <w:spacing w:after="0" w:line="103" w:lineRule="exact"/>
              <w:rPr>
                <w:sz w:val="20"/>
                <w:szCs w:val="20"/>
                <w:color w:val="auto"/>
              </w:rPr>
            </w:pPr>
            <w:r>
              <w:rPr>
                <w:rFonts w:ascii="Arial" w:cs="Arial" w:eastAsia="Arial" w:hAnsi="Arial"/>
                <w:sz w:val="10"/>
                <w:szCs w:val="10"/>
                <w:color w:val="auto"/>
              </w:rPr>
              <w:t>Other comprehensive income (loss)</w:t>
            </w:r>
          </w:p>
        </w:tc>
        <w:tc>
          <w:tcPr>
            <w:tcW w:w="2240" w:type="dxa"/>
            <w:vAlign w:val="bottom"/>
            <w:tcBorders>
              <w:bottom w:val="single" w:sz="8" w:color="CFF0FC"/>
            </w:tcBorders>
          </w:tcPr>
          <w:p>
            <w:pPr>
              <w:spacing w:after="0"/>
              <w:rPr>
                <w:sz w:val="8"/>
                <w:szCs w:val="8"/>
                <w:color w:val="auto"/>
              </w:rPr>
            </w:pPr>
          </w:p>
        </w:tc>
        <w:tc>
          <w:tcPr>
            <w:tcW w:w="108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(60.1)</w:t>
            </w:r>
          </w:p>
        </w:tc>
        <w:tc>
          <w:tcPr>
            <w:tcW w:w="40" w:type="dxa"/>
            <w:vAlign w:val="bottom"/>
            <w:tcBorders>
              <w:bottom w:val="single" w:sz="8" w:color="CFF0FC"/>
            </w:tcBorders>
          </w:tcPr>
          <w:p>
            <w:pPr>
              <w:spacing w:after="0"/>
              <w:rPr>
                <w:sz w:val="8"/>
                <w:szCs w:val="8"/>
                <w:color w:val="auto"/>
              </w:rPr>
            </w:pPr>
          </w:p>
        </w:tc>
        <w:tc>
          <w:tcPr>
            <w:tcW w:w="60" w:type="dxa"/>
            <w:vAlign w:val="bottom"/>
            <w:tcBorders>
              <w:bottom w:val="single" w:sz="8" w:color="CFF0FC"/>
            </w:tcBorders>
          </w:tcPr>
          <w:p>
            <w:pPr>
              <w:spacing w:after="0"/>
              <w:rPr>
                <w:sz w:val="8"/>
                <w:szCs w:val="8"/>
                <w:color w:val="auto"/>
              </w:rPr>
            </w:pPr>
          </w:p>
        </w:tc>
        <w:tc>
          <w:tcPr>
            <w:tcW w:w="540" w:type="dxa"/>
            <w:vAlign w:val="bottom"/>
            <w:tcBorders>
              <w:bottom w:val="single" w:sz="8" w:color="CFF0FC"/>
            </w:tcBorders>
          </w:tcPr>
          <w:p>
            <w:pPr>
              <w:spacing w:after="0"/>
              <w:rPr>
                <w:sz w:val="8"/>
                <w:szCs w:val="8"/>
                <w:color w:val="auto"/>
              </w:rPr>
            </w:pPr>
          </w:p>
        </w:tc>
        <w:tc>
          <w:tcPr>
            <w:tcW w:w="540" w:type="dxa"/>
            <w:vAlign w:val="bottom"/>
            <w:tcBorders>
              <w:top w:val="single" w:sz="8" w:color="auto"/>
              <w:bottom w:val="single" w:sz="8" w:color="auto"/>
            </w:tcBorders>
          </w:tcPr>
          <w:p>
            <w:pPr>
              <w:spacing w:after="0"/>
              <w:rPr>
                <w:sz w:val="8"/>
                <w:szCs w:val="8"/>
                <w:color w:val="auto"/>
              </w:rPr>
            </w:pPr>
          </w:p>
        </w:tc>
        <w:tc>
          <w:tcPr>
            <w:tcW w:w="108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91.3</w:t>
            </w:r>
          </w:p>
        </w:tc>
        <w:tc>
          <w:tcPr>
            <w:tcW w:w="120" w:type="dxa"/>
            <w:vAlign w:val="bottom"/>
            <w:tcBorders>
              <w:bottom w:val="single" w:sz="8" w:color="CFF0FC"/>
            </w:tcBorders>
          </w:tcPr>
          <w:p>
            <w:pPr>
              <w:spacing w:after="0"/>
              <w:rPr>
                <w:sz w:val="8"/>
                <w:szCs w:val="8"/>
                <w:color w:val="auto"/>
              </w:rPr>
            </w:pPr>
          </w:p>
        </w:tc>
      </w:tr>
      <w:tr>
        <w:trPr>
          <w:trHeight w:val="102"/>
        </w:trPr>
        <w:tc>
          <w:tcPr>
            <w:tcW w:w="5240" w:type="dxa"/>
            <w:vAlign w:val="bottom"/>
            <w:shd w:val="clear" w:color="auto" w:fill="CFF0FC"/>
          </w:tcPr>
          <w:p>
            <w:pPr>
              <w:spacing w:after="0" w:line="103" w:lineRule="exact"/>
              <w:rPr>
                <w:sz w:val="20"/>
                <w:szCs w:val="20"/>
                <w:color w:val="auto"/>
              </w:rPr>
            </w:pPr>
            <w:r>
              <w:rPr>
                <w:rFonts w:ascii="Arial" w:cs="Arial" w:eastAsia="Arial" w:hAnsi="Arial"/>
                <w:sz w:val="10"/>
                <w:szCs w:val="10"/>
                <w:color w:val="auto"/>
              </w:rPr>
              <w:t>Comprehensive income (loss)</w:t>
            </w:r>
          </w:p>
        </w:tc>
        <w:tc>
          <w:tcPr>
            <w:tcW w:w="22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(79.1)</w:t>
            </w:r>
          </w:p>
        </w:tc>
        <w:tc>
          <w:tcPr>
            <w:tcW w:w="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8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147.3</w:t>
            </w:r>
          </w:p>
        </w:tc>
        <w:tc>
          <w:tcPr>
            <w:tcW w:w="120" w:type="dxa"/>
            <w:vAlign w:val="bottom"/>
            <w:shd w:val="clear" w:color="auto" w:fill="CFF0FC"/>
          </w:tcPr>
          <w:p>
            <w:pPr>
              <w:spacing w:after="0"/>
              <w:rPr>
                <w:sz w:val="8"/>
                <w:szCs w:val="8"/>
                <w:color w:val="auto"/>
              </w:rPr>
            </w:pPr>
          </w:p>
        </w:tc>
      </w:tr>
      <w:tr>
        <w:trPr>
          <w:trHeight w:val="113"/>
        </w:trPr>
        <w:tc>
          <w:tcPr>
            <w:tcW w:w="5240" w:type="dxa"/>
            <w:vAlign w:val="bottom"/>
            <w:tcBorders>
              <w:bottom w:val="single" w:sz="8" w:color="CFF0FC"/>
            </w:tcBorders>
          </w:tcPr>
          <w:p>
            <w:pPr>
              <w:spacing w:after="0" w:line="113" w:lineRule="exact"/>
              <w:rPr>
                <w:sz w:val="20"/>
                <w:szCs w:val="20"/>
                <w:color w:val="auto"/>
              </w:rPr>
            </w:pPr>
            <w:r>
              <w:rPr>
                <w:rFonts w:ascii="Arial" w:cs="Arial" w:eastAsia="Arial" w:hAnsi="Arial"/>
                <w:sz w:val="10"/>
                <w:szCs w:val="10"/>
                <w:color w:val="auto"/>
              </w:rPr>
              <w:t>Less: Comprehensive income (loss) attributable to noncontrolling interests</w:t>
            </w:r>
          </w:p>
        </w:tc>
        <w:tc>
          <w:tcPr>
            <w:tcW w:w="224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11.4</w:t>
            </w:r>
          </w:p>
        </w:tc>
        <w:tc>
          <w:tcPr>
            <w:tcW w:w="40" w:type="dxa"/>
            <w:vAlign w:val="bottom"/>
            <w:tcBorders>
              <w:bottom w:val="single" w:sz="8" w:color="CFF0FC"/>
            </w:tcBorders>
          </w:tcPr>
          <w:p>
            <w:pPr>
              <w:spacing w:after="0"/>
              <w:rPr>
                <w:sz w:val="9"/>
                <w:szCs w:val="9"/>
                <w:color w:val="auto"/>
              </w:rPr>
            </w:pPr>
          </w:p>
        </w:tc>
        <w:tc>
          <w:tcPr>
            <w:tcW w:w="60" w:type="dxa"/>
            <w:vAlign w:val="bottom"/>
            <w:tcBorders>
              <w:bottom w:val="single" w:sz="8" w:color="CFF0FC"/>
            </w:tcBorders>
          </w:tcPr>
          <w:p>
            <w:pPr>
              <w:spacing w:after="0"/>
              <w:rPr>
                <w:sz w:val="9"/>
                <w:szCs w:val="9"/>
                <w:color w:val="auto"/>
              </w:rPr>
            </w:pPr>
          </w:p>
        </w:tc>
        <w:tc>
          <w:tcPr>
            <w:tcW w:w="540" w:type="dxa"/>
            <w:vAlign w:val="bottom"/>
            <w:tcBorders>
              <w:bottom w:val="single" w:sz="8" w:color="CFF0FC"/>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13.2</w:t>
            </w:r>
          </w:p>
        </w:tc>
        <w:tc>
          <w:tcPr>
            <w:tcW w:w="120" w:type="dxa"/>
            <w:vAlign w:val="bottom"/>
            <w:tcBorders>
              <w:bottom w:val="single" w:sz="8" w:color="CFF0FC"/>
            </w:tcBorders>
          </w:tcPr>
          <w:p>
            <w:pPr>
              <w:spacing w:after="0"/>
              <w:rPr>
                <w:sz w:val="9"/>
                <w:szCs w:val="9"/>
                <w:color w:val="auto"/>
              </w:rPr>
            </w:pPr>
          </w:p>
        </w:tc>
      </w:tr>
      <w:tr>
        <w:trPr>
          <w:trHeight w:val="111"/>
        </w:trPr>
        <w:tc>
          <w:tcPr>
            <w:tcW w:w="5240" w:type="dxa"/>
            <w:vAlign w:val="bottom"/>
            <w:tcBorders>
              <w:bottom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Comprehensive income (loss) attributable to Targa Resources Partners LP</w:t>
            </w:r>
          </w:p>
        </w:tc>
        <w:tc>
          <w:tcPr>
            <w:tcW w:w="2240" w:type="dxa"/>
            <w:vAlign w:val="bottom"/>
            <w:tcBorders>
              <w:bottom w:val="single" w:sz="8" w:color="CFF0FC"/>
            </w:tcBorders>
            <w:shd w:val="clear" w:color="auto" w:fill="CFF0FC"/>
          </w:tcPr>
          <w:p>
            <w:pPr>
              <w:spacing w:after="0"/>
              <w:rPr>
                <w:sz w:val="9"/>
                <w:szCs w:val="9"/>
                <w:color w:val="auto"/>
              </w:rPr>
            </w:pPr>
          </w:p>
        </w:tc>
        <w:tc>
          <w:tcPr>
            <w:tcW w:w="1080" w:type="dxa"/>
            <w:vAlign w:val="bottom"/>
            <w:tcBorders>
              <w:bottom w:val="single" w:sz="8" w:color="auto"/>
            </w:tcBorders>
            <w:shd w:val="clear" w:color="auto" w:fill="CFF0FC"/>
          </w:tcPr>
          <w:p>
            <w:pPr>
              <w:jc w:val="right"/>
              <w:ind w:right="100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(90.5)</w:t>
            </w:r>
          </w:p>
        </w:tc>
        <w:tc>
          <w:tcPr>
            <w:tcW w:w="4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jc w:val="right"/>
              <w:ind w:right="430"/>
              <w:spacing w:after="0" w:line="103" w:lineRule="exact"/>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134.1</w:t>
            </w:r>
          </w:p>
        </w:tc>
        <w:tc>
          <w:tcPr>
            <w:tcW w:w="120" w:type="dxa"/>
            <w:vAlign w:val="bottom"/>
            <w:tcBorders>
              <w:bottom w:val="single" w:sz="8" w:color="CFF0FC"/>
            </w:tcBorders>
            <w:shd w:val="clear" w:color="auto" w:fill="CFF0FC"/>
          </w:tcPr>
          <w:p>
            <w:pPr>
              <w:spacing w:after="0"/>
              <w:rPr>
                <w:sz w:val="9"/>
                <w:szCs w:val="9"/>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3"/>
          <w:szCs w:val="13"/>
          <w:b w:val="1"/>
          <w:bCs w:val="1"/>
          <w:color w:val="auto"/>
        </w:rPr>
        <w:t>TARGA RESOURCES PARTNERS LP</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STATEMENTS OF CHANGES IN OWNERS' EQUITY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1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right="359"/>
              <w:spacing w:after="0"/>
              <w:rPr>
                <w:sz w:val="20"/>
                <w:szCs w:val="20"/>
                <w:color w:val="auto"/>
              </w:rPr>
            </w:pPr>
            <w:r>
              <w:rPr>
                <w:rFonts w:ascii="Arial" w:cs="Arial" w:eastAsia="Arial" w:hAnsi="Arial"/>
                <w:sz w:val="8"/>
                <w:szCs w:val="8"/>
                <w:b w:val="1"/>
                <w:bCs w:val="1"/>
                <w:color w:val="auto"/>
                <w:w w:val="91"/>
              </w:rPr>
              <w:t>Accumulated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69"/>
        </w:trPr>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gridSpan w:val="3"/>
          </w:tcPr>
          <w:p>
            <w:pPr>
              <w:jc w:val="right"/>
              <w:ind w:right="275"/>
              <w:spacing w:after="0"/>
              <w:rPr>
                <w:sz w:val="20"/>
                <w:szCs w:val="20"/>
                <w:color w:val="auto"/>
              </w:rPr>
            </w:pPr>
            <w:r>
              <w:rPr>
                <w:rFonts w:ascii="Arial" w:cs="Arial" w:eastAsia="Arial" w:hAnsi="Arial"/>
                <w:sz w:val="8"/>
                <w:szCs w:val="8"/>
                <w:b w:val="1"/>
                <w:bCs w:val="1"/>
                <w:color w:val="auto"/>
              </w:rPr>
              <w:t>Limited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right"/>
              <w:ind w:right="320"/>
              <w:spacing w:after="0"/>
              <w:rPr>
                <w:sz w:val="20"/>
                <w:szCs w:val="20"/>
                <w:color w:val="auto"/>
              </w:rPr>
            </w:pPr>
            <w:r>
              <w:rPr>
                <w:rFonts w:ascii="Arial" w:cs="Arial" w:eastAsia="Arial" w:hAnsi="Arial"/>
                <w:sz w:val="8"/>
                <w:szCs w:val="8"/>
                <w:b w:val="1"/>
                <w:bCs w:val="1"/>
                <w:color w:val="auto"/>
              </w:rPr>
              <w:t>Limited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right"/>
              <w:ind w:right="300"/>
              <w:spacing w:after="0"/>
              <w:rPr>
                <w:sz w:val="20"/>
                <w:szCs w:val="20"/>
                <w:color w:val="auto"/>
              </w:rPr>
            </w:pPr>
            <w:r>
              <w:rPr>
                <w:rFonts w:ascii="Arial" w:cs="Arial" w:eastAsia="Arial" w:hAnsi="Arial"/>
                <w:sz w:val="8"/>
                <w:szCs w:val="8"/>
                <w:b w:val="1"/>
                <w:bCs w:val="1"/>
                <w:color w:val="auto"/>
              </w:rPr>
              <w:t>General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79"/>
              <w:spacing w:after="0"/>
              <w:rPr>
                <w:sz w:val="20"/>
                <w:szCs w:val="20"/>
                <w:color w:val="auto"/>
              </w:rPr>
            </w:pPr>
            <w:r>
              <w:rPr>
                <w:rFonts w:ascii="Arial" w:cs="Arial" w:eastAsia="Arial" w:hAnsi="Arial"/>
                <w:sz w:val="8"/>
                <w:szCs w:val="8"/>
                <w:b w:val="1"/>
                <w:bCs w:val="1"/>
                <w:color w:val="auto"/>
                <w:w w:val="93"/>
              </w:rPr>
              <w:t>Other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440"/>
              <w:spacing w:after="0"/>
              <w:rPr>
                <w:sz w:val="20"/>
                <w:szCs w:val="20"/>
                <w:color w:val="auto"/>
              </w:rPr>
            </w:pPr>
            <w:r>
              <w:rPr>
                <w:rFonts w:ascii="Arial" w:cs="Arial" w:eastAsia="Arial" w:hAnsi="Arial"/>
                <w:sz w:val="8"/>
                <w:szCs w:val="8"/>
                <w:b w:val="1"/>
                <w:bCs w:val="1"/>
                <w:color w:val="auto"/>
                <w:w w:val="87"/>
              </w:rPr>
              <w:t>Non-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18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8"/>
                <w:szCs w:val="8"/>
                <w:b w:val="1"/>
                <w:bCs w:val="1"/>
                <w:color w:val="auto"/>
              </w:rPr>
              <w:t>Partner</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8"/>
                <w:szCs w:val="8"/>
                <w:b w:val="1"/>
                <w:bCs w:val="1"/>
                <w:color w:val="auto"/>
              </w:rPr>
              <w:t>Partner</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8"/>
                <w:szCs w:val="8"/>
                <w:b w:val="1"/>
                <w:bCs w:val="1"/>
                <w:color w:val="auto"/>
              </w:rPr>
              <w:t>Partner</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39"/>
              <w:spacing w:after="0"/>
              <w:rPr>
                <w:sz w:val="20"/>
                <w:szCs w:val="20"/>
                <w:color w:val="auto"/>
              </w:rPr>
            </w:pPr>
            <w:r>
              <w:rPr>
                <w:rFonts w:ascii="Arial" w:cs="Arial" w:eastAsia="Arial" w:hAnsi="Arial"/>
                <w:sz w:val="8"/>
                <w:szCs w:val="8"/>
                <w:b w:val="1"/>
                <w:bCs w:val="1"/>
                <w:color w:val="auto"/>
                <w:w w:val="86"/>
              </w:rPr>
              <w:t>Comprehensive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8"/>
                <w:szCs w:val="8"/>
                <w:b w:val="1"/>
                <w:bCs w:val="1"/>
                <w:color w:val="auto"/>
                <w:w w:val="91"/>
              </w:rPr>
              <w:t>controlling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9"/>
        </w:trPr>
        <w:tc>
          <w:tcPr>
            <w:tcW w:w="1820" w:type="dxa"/>
            <w:vAlign w:val="bottom"/>
          </w:tcPr>
          <w:p>
            <w:pPr>
              <w:spacing w:after="0"/>
              <w:rPr>
                <w:sz w:val="13"/>
                <w:szCs w:val="13"/>
                <w:color w:val="auto"/>
              </w:rPr>
            </w:pPr>
          </w:p>
        </w:tc>
        <w:tc>
          <w:tcPr>
            <w:tcW w:w="600" w:type="dxa"/>
            <w:vAlign w:val="bottom"/>
          </w:tcPr>
          <w:p>
            <w:pPr>
              <w:ind w:left="220"/>
              <w:spacing w:after="0"/>
              <w:rPr>
                <w:sz w:val="20"/>
                <w:szCs w:val="20"/>
                <w:color w:val="auto"/>
              </w:rPr>
            </w:pPr>
            <w:r>
              <w:rPr>
                <w:rFonts w:ascii="Arial" w:cs="Arial" w:eastAsia="Arial" w:hAnsi="Arial"/>
                <w:sz w:val="8"/>
                <w:szCs w:val="8"/>
                <w:b w:val="1"/>
                <w:bCs w:val="1"/>
                <w:color w:val="auto"/>
              </w:rPr>
              <w:t>Preferred</w:t>
            </w:r>
          </w:p>
        </w:tc>
        <w:tc>
          <w:tcPr>
            <w:tcW w:w="260" w:type="dxa"/>
            <w:vAlign w:val="bottom"/>
          </w:tcPr>
          <w:p>
            <w:pPr>
              <w:spacing w:after="0"/>
              <w:rPr>
                <w:sz w:val="13"/>
                <w:szCs w:val="13"/>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b w:val="1"/>
                <w:bCs w:val="1"/>
                <w:color w:val="auto"/>
                <w:w w:val="99"/>
              </w:rPr>
              <w:t>Amount</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ind w:left="160"/>
              <w:spacing w:after="0"/>
              <w:rPr>
                <w:sz w:val="20"/>
                <w:szCs w:val="20"/>
                <w:color w:val="auto"/>
              </w:rPr>
            </w:pPr>
            <w:r>
              <w:rPr>
                <w:rFonts w:ascii="Arial" w:cs="Arial" w:eastAsia="Arial" w:hAnsi="Arial"/>
                <w:sz w:val="8"/>
                <w:szCs w:val="8"/>
                <w:b w:val="1"/>
                <w:bCs w:val="1"/>
                <w:color w:val="auto"/>
              </w:rPr>
              <w:t>Common</w:t>
            </w:r>
          </w:p>
        </w:tc>
        <w:tc>
          <w:tcPr>
            <w:tcW w:w="340" w:type="dxa"/>
            <w:vAlign w:val="bottom"/>
            <w:gridSpan w:val="2"/>
          </w:tcPr>
          <w:p>
            <w:pPr>
              <w:spacing w:after="0"/>
              <w:rPr>
                <w:sz w:val="20"/>
                <w:szCs w:val="20"/>
                <w:color w:val="auto"/>
              </w:rPr>
            </w:pPr>
            <w:r>
              <w:rPr>
                <w:rFonts w:ascii="Arial" w:cs="Arial" w:eastAsia="Arial" w:hAnsi="Arial"/>
                <w:sz w:val="8"/>
                <w:szCs w:val="8"/>
                <w:b w:val="1"/>
                <w:bCs w:val="1"/>
                <w:color w:val="auto"/>
              </w:rPr>
              <w:t>Amount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ind w:left="220"/>
              <w:spacing w:after="0"/>
              <w:rPr>
                <w:sz w:val="20"/>
                <w:szCs w:val="20"/>
                <w:color w:val="auto"/>
              </w:rPr>
            </w:pPr>
            <w:r>
              <w:rPr>
                <w:rFonts w:ascii="Arial" w:cs="Arial" w:eastAsia="Arial" w:hAnsi="Arial"/>
                <w:sz w:val="8"/>
                <w:szCs w:val="8"/>
                <w:b w:val="1"/>
                <w:bCs w:val="1"/>
                <w:color w:val="auto"/>
              </w:rPr>
              <w:t>Units</w:t>
            </w:r>
          </w:p>
        </w:tc>
        <w:tc>
          <w:tcPr>
            <w:tcW w:w="340" w:type="dxa"/>
            <w:vAlign w:val="bottom"/>
            <w:gridSpan w:val="2"/>
          </w:tcPr>
          <w:p>
            <w:pPr>
              <w:spacing w:after="0"/>
              <w:rPr>
                <w:sz w:val="20"/>
                <w:szCs w:val="20"/>
                <w:color w:val="auto"/>
              </w:rPr>
            </w:pPr>
            <w:r>
              <w:rPr>
                <w:rFonts w:ascii="Arial" w:cs="Arial" w:eastAsia="Arial" w:hAnsi="Arial"/>
                <w:sz w:val="8"/>
                <w:szCs w:val="8"/>
                <w:b w:val="1"/>
                <w:bCs w:val="1"/>
                <w:color w:val="auto"/>
              </w:rPr>
              <w:t>Amount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79"/>
              <w:spacing w:after="0"/>
              <w:rPr>
                <w:sz w:val="20"/>
                <w:szCs w:val="20"/>
                <w:color w:val="auto"/>
              </w:rPr>
            </w:pPr>
            <w:r>
              <w:rPr>
                <w:rFonts w:ascii="Arial" w:cs="Arial" w:eastAsia="Arial" w:hAnsi="Arial"/>
                <w:sz w:val="8"/>
                <w:szCs w:val="8"/>
                <w:b w:val="1"/>
                <w:bCs w:val="1"/>
                <w:color w:val="auto"/>
                <w:w w:val="88"/>
              </w:rPr>
              <w:t>Income (Loss)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8"/>
                <w:szCs w:val="8"/>
                <w:b w:val="1"/>
                <w:bCs w:val="1"/>
                <w:color w:val="auto"/>
                <w:w w:val="89"/>
              </w:rPr>
              <w:t>Interests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8"/>
                <w:szCs w:val="8"/>
                <w:b w:val="1"/>
                <w:bCs w:val="1"/>
                <w:color w:val="auto"/>
              </w:rPr>
              <w:t>Total</w:t>
            </w:r>
          </w:p>
        </w:tc>
      </w:tr>
      <w:tr>
        <w:trPr>
          <w:trHeight w:val="97"/>
        </w:trPr>
        <w:tc>
          <w:tcPr>
            <w:tcW w:w="18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8"/>
                <w:szCs w:val="8"/>
                <w:b w:val="1"/>
                <w:bCs w:val="1"/>
                <w:color w:val="auto"/>
                <w:w w:val="94"/>
              </w:rPr>
              <w:t>(Unaudited)</w:t>
            </w:r>
          </w:p>
        </w:tc>
        <w:tc>
          <w:tcPr>
            <w:tcW w:w="1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5"/>
        </w:trPr>
        <w:tc>
          <w:tcPr>
            <w:tcW w:w="1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20" w:type="dxa"/>
            <w:vAlign w:val="bottom"/>
            <w:gridSpan w:val="8"/>
          </w:tcPr>
          <w:p>
            <w:pPr>
              <w:jc w:val="center"/>
              <w:ind w:right="200"/>
              <w:spacing w:after="0"/>
              <w:rPr>
                <w:sz w:val="20"/>
                <w:szCs w:val="20"/>
                <w:color w:val="auto"/>
              </w:rPr>
            </w:pPr>
            <w:r>
              <w:rPr>
                <w:rFonts w:ascii="Arial" w:cs="Arial" w:eastAsia="Arial" w:hAnsi="Arial"/>
                <w:sz w:val="8"/>
                <w:szCs w:val="8"/>
                <w:b w:val="1"/>
                <w:bCs w:val="1"/>
                <w:color w:val="auto"/>
                <w:w w:val="90"/>
              </w:rPr>
              <w:t>(In millions, except units in thousands)</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8"/>
        </w:trPr>
        <w:tc>
          <w:tcPr>
            <w:tcW w:w="1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3"/>
        </w:trPr>
        <w:tc>
          <w:tcPr>
            <w:tcW w:w="2420" w:type="dxa"/>
            <w:vAlign w:val="bottom"/>
            <w:gridSpan w:val="2"/>
            <w:shd w:val="clear" w:color="auto" w:fill="CFF0FC"/>
          </w:tcPr>
          <w:p>
            <w:pPr>
              <w:spacing w:after="0"/>
              <w:rPr>
                <w:sz w:val="20"/>
                <w:szCs w:val="20"/>
                <w:color w:val="auto"/>
              </w:rPr>
            </w:pPr>
            <w:r>
              <w:rPr>
                <w:rFonts w:ascii="Arial" w:cs="Arial" w:eastAsia="Arial" w:hAnsi="Arial"/>
                <w:sz w:val="8"/>
                <w:szCs w:val="8"/>
                <w:b w:val="1"/>
                <w:bCs w:val="1"/>
                <w:color w:val="auto"/>
              </w:rPr>
              <w:t>Balance, December 31, 2018</w:t>
            </w:r>
          </w:p>
        </w:tc>
        <w:tc>
          <w:tcPr>
            <w:tcW w:w="260" w:type="dxa"/>
            <w:vAlign w:val="bottom"/>
            <w:tcBorders>
              <w:right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89"/>
              </w:rPr>
              <w:t>5,000</w:t>
            </w:r>
          </w:p>
        </w:tc>
        <w:tc>
          <w:tcPr>
            <w:tcW w:w="24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color w:val="auto"/>
              </w:rPr>
              <w:t>120.6</w:t>
            </w:r>
          </w:p>
        </w:tc>
        <w:tc>
          <w:tcPr>
            <w:tcW w:w="140" w:type="dxa"/>
            <w:vAlign w:val="bottom"/>
            <w:shd w:val="clear" w:color="auto" w:fill="CFF0FC"/>
          </w:tcPr>
          <w:p>
            <w:pPr>
              <w:spacing w:after="0"/>
              <w:rPr>
                <w:sz w:val="8"/>
                <w:szCs w:val="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275,168</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6,227.2</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5,629</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802.6</w:t>
            </w: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jc w:val="right"/>
              <w:ind w:right="10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8"/>
                <w:szCs w:val="8"/>
                <w:color w:val="auto"/>
              </w:rPr>
              <w:t>124.9</w:t>
            </w:r>
          </w:p>
        </w:tc>
        <w:tc>
          <w:tcPr>
            <w:tcW w:w="220" w:type="dxa"/>
            <w:vAlign w:val="bottom"/>
            <w:tcBorders>
              <w:right w:val="single" w:sz="8" w:color="CFF0FC"/>
            </w:tcBorders>
            <w:shd w:val="clear" w:color="auto" w:fill="CFF0FC"/>
          </w:tcPr>
          <w:p>
            <w:pPr>
              <w:spacing w:after="0"/>
              <w:rPr>
                <w:sz w:val="8"/>
                <w:szCs w:val="8"/>
                <w:color w:val="auto"/>
              </w:rPr>
            </w:pPr>
          </w:p>
        </w:tc>
        <w:tc>
          <w:tcPr>
            <w:tcW w:w="120" w:type="dxa"/>
            <w:vAlign w:val="bottom"/>
            <w:shd w:val="clear" w:color="auto" w:fill="CFF0FC"/>
          </w:tcPr>
          <w:p>
            <w:pPr>
              <w:jc w:val="right"/>
              <w:ind w:right="47"/>
              <w:spacing w:after="0"/>
              <w:rPr>
                <w:sz w:val="20"/>
                <w:szCs w:val="20"/>
                <w:color w:val="auto"/>
              </w:rPr>
            </w:pPr>
            <w:r>
              <w:rPr>
                <w:rFonts w:ascii="Arial" w:cs="Arial" w:eastAsia="Arial" w:hAnsi="Arial"/>
                <w:sz w:val="5"/>
                <w:szCs w:val="5"/>
                <w:color w:val="auto"/>
                <w:w w:val="70"/>
              </w:rPr>
              <w:t>$</w:t>
            </w:r>
          </w:p>
        </w:tc>
        <w:tc>
          <w:tcPr>
            <w:tcW w:w="8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1,270.8</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jc w:val="right"/>
              <w:ind w:right="27"/>
              <w:spacing w:after="0"/>
              <w:rPr>
                <w:sz w:val="20"/>
                <w:szCs w:val="20"/>
                <w:color w:val="auto"/>
              </w:rPr>
            </w:pPr>
            <w:r>
              <w:rPr>
                <w:rFonts w:ascii="Arial" w:cs="Arial" w:eastAsia="Arial" w:hAnsi="Arial"/>
                <w:sz w:val="5"/>
                <w:szCs w:val="5"/>
                <w:color w:val="auto"/>
                <w:w w:val="70"/>
              </w:rPr>
              <w:t>$</w:t>
            </w:r>
          </w:p>
        </w:tc>
        <w:tc>
          <w:tcPr>
            <w:tcW w:w="14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8"/>
                <w:szCs w:val="8"/>
                <w:color w:val="auto"/>
              </w:rPr>
              <w:t>8,546.1</w:t>
            </w:r>
          </w:p>
        </w:tc>
        <w:tc>
          <w:tcPr>
            <w:tcW w:w="120" w:type="dxa"/>
            <w:vAlign w:val="bottom"/>
            <w:tcBorders>
              <w:right w:val="single" w:sz="8" w:color="CFF0FC"/>
            </w:tcBorders>
            <w:shd w:val="clear" w:color="auto" w:fill="CFF0FC"/>
          </w:tcPr>
          <w:p>
            <w:pPr>
              <w:spacing w:after="0"/>
              <w:rPr>
                <w:sz w:val="8"/>
                <w:szCs w:val="8"/>
                <w:color w:val="auto"/>
              </w:rPr>
            </w:pPr>
          </w:p>
        </w:tc>
      </w:tr>
      <w:tr>
        <w:trPr>
          <w:trHeight w:val="103"/>
        </w:trPr>
        <w:tc>
          <w:tcPr>
            <w:tcW w:w="2420" w:type="dxa"/>
            <w:vAlign w:val="bottom"/>
            <w:gridSpan w:val="2"/>
          </w:tcPr>
          <w:p>
            <w:pPr>
              <w:spacing w:after="0"/>
              <w:rPr>
                <w:sz w:val="20"/>
                <w:szCs w:val="20"/>
                <w:color w:val="auto"/>
              </w:rPr>
            </w:pPr>
            <w:r>
              <w:rPr>
                <w:rFonts w:ascii="Arial" w:cs="Arial" w:eastAsia="Arial" w:hAnsi="Arial"/>
                <w:sz w:val="8"/>
                <w:szCs w:val="8"/>
                <w:color w:val="auto"/>
              </w:rPr>
              <w:t>Distributions to noncontrolling interests</w:t>
            </w:r>
          </w:p>
        </w:tc>
        <w:tc>
          <w:tcPr>
            <w:tcW w:w="26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8"/>
                <w:szCs w:val="8"/>
                <w:color w:val="auto"/>
              </w:rPr>
              <w:t>(18.6)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8"/>
                <w:szCs w:val="8"/>
                <w:color w:val="auto"/>
              </w:rPr>
              <w:t>(18.6)</w:t>
            </w:r>
          </w:p>
        </w:tc>
      </w:tr>
      <w:tr>
        <w:trPr>
          <w:trHeight w:val="103"/>
        </w:trPr>
        <w:tc>
          <w:tcPr>
            <w:tcW w:w="2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Contributions from noncontrolling interests</w:t>
            </w:r>
          </w:p>
        </w:tc>
        <w:tc>
          <w:tcPr>
            <w:tcW w:w="260" w:type="dxa"/>
            <w:vAlign w:val="bottom"/>
            <w:tcBorders>
              <w:right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rPr>
              <w:t>—</w:t>
            </w:r>
          </w:p>
        </w:tc>
        <w:tc>
          <w:tcPr>
            <w:tcW w:w="240" w:type="dxa"/>
            <w:vAlign w:val="bottom"/>
            <w:tcBorders>
              <w:right w:val="single" w:sz="8" w:color="CFF0FC"/>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40" w:type="dxa"/>
            <w:vAlign w:val="bottom"/>
            <w:gridSpan w:val="3"/>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40" w:type="dxa"/>
            <w:vAlign w:val="bottom"/>
            <w:gridSpan w:val="3"/>
            <w:shd w:val="clear" w:color="auto" w:fill="CFF0FC"/>
          </w:tcPr>
          <w:p>
            <w:pPr>
              <w:jc w:val="right"/>
              <w:ind w:right="320"/>
              <w:spacing w:after="0"/>
              <w:rPr>
                <w:sz w:val="20"/>
                <w:szCs w:val="20"/>
                <w:color w:val="auto"/>
              </w:rPr>
            </w:pPr>
            <w:r>
              <w:rPr>
                <w:rFonts w:ascii="Arial" w:cs="Arial" w:eastAsia="Arial" w:hAnsi="Arial"/>
                <w:sz w:val="8"/>
                <w:szCs w:val="8"/>
                <w:color w:val="auto"/>
              </w:rPr>
              <w:t>—</w:t>
            </w:r>
          </w:p>
        </w:tc>
        <w:tc>
          <w:tcPr>
            <w:tcW w:w="180" w:type="dxa"/>
            <w:vAlign w:val="bottom"/>
            <w:tcBorders>
              <w:right w:val="single" w:sz="8" w:color="CFF0FC"/>
            </w:tcBorders>
            <w:shd w:val="clear" w:color="auto" w:fill="CFF0FC"/>
          </w:tcPr>
          <w:p>
            <w:pPr>
              <w:spacing w:after="0"/>
              <w:rPr>
                <w:sz w:val="8"/>
                <w:szCs w:val="8"/>
                <w:color w:val="auto"/>
              </w:rPr>
            </w:pPr>
          </w:p>
        </w:tc>
        <w:tc>
          <w:tcPr>
            <w:tcW w:w="900" w:type="dxa"/>
            <w:vAlign w:val="bottom"/>
            <w:tcBorders>
              <w:right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196.8</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8"/>
                <w:szCs w:val="8"/>
                <w:color w:val="auto"/>
              </w:rPr>
              <w:t>196.8</w:t>
            </w:r>
          </w:p>
        </w:tc>
        <w:tc>
          <w:tcPr>
            <w:tcW w:w="120" w:type="dxa"/>
            <w:vAlign w:val="bottom"/>
            <w:tcBorders>
              <w:right w:val="single" w:sz="8" w:color="CFF0FC"/>
            </w:tcBorders>
            <w:shd w:val="clear" w:color="auto" w:fill="CFF0FC"/>
          </w:tcPr>
          <w:p>
            <w:pPr>
              <w:spacing w:after="0"/>
              <w:rPr>
                <w:sz w:val="8"/>
                <w:szCs w:val="8"/>
                <w:color w:val="auto"/>
              </w:rPr>
            </w:pPr>
          </w:p>
        </w:tc>
      </w:tr>
      <w:tr>
        <w:trPr>
          <w:trHeight w:val="103"/>
        </w:trPr>
        <w:tc>
          <w:tcPr>
            <w:tcW w:w="2420" w:type="dxa"/>
            <w:vAlign w:val="bottom"/>
            <w:gridSpan w:val="2"/>
          </w:tcPr>
          <w:p>
            <w:pPr>
              <w:spacing w:after="0"/>
              <w:rPr>
                <w:sz w:val="20"/>
                <w:szCs w:val="20"/>
                <w:color w:val="auto"/>
              </w:rPr>
            </w:pPr>
            <w:r>
              <w:rPr>
                <w:rFonts w:ascii="Arial" w:cs="Arial" w:eastAsia="Arial" w:hAnsi="Arial"/>
                <w:sz w:val="8"/>
                <w:szCs w:val="8"/>
                <w:color w:val="auto"/>
              </w:rPr>
              <w:t>Other comprehensive income (loss)</w:t>
            </w:r>
          </w:p>
        </w:tc>
        <w:tc>
          <w:tcPr>
            <w:tcW w:w="26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8"/>
                <w:szCs w:val="8"/>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8"/>
                <w:szCs w:val="8"/>
                <w:color w:val="auto"/>
              </w:rPr>
              <w:t>(60.1)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8"/>
                <w:szCs w:val="8"/>
                <w:color w:val="auto"/>
              </w:rPr>
              <w:t>(60.1)</w:t>
            </w:r>
          </w:p>
        </w:tc>
      </w:tr>
      <w:tr>
        <w:trPr>
          <w:trHeight w:val="103"/>
        </w:trPr>
        <w:tc>
          <w:tcPr>
            <w:tcW w:w="2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Net income (loss)</w:t>
            </w:r>
          </w:p>
        </w:tc>
        <w:tc>
          <w:tcPr>
            <w:tcW w:w="260" w:type="dxa"/>
            <w:vAlign w:val="bottom"/>
            <w:tcBorders>
              <w:right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rPr>
              <w:t>—</w:t>
            </w:r>
          </w:p>
        </w:tc>
        <w:tc>
          <w:tcPr>
            <w:tcW w:w="240" w:type="dxa"/>
            <w:vAlign w:val="bottom"/>
            <w:tcBorders>
              <w:right w:val="single" w:sz="8" w:color="CFF0FC"/>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color w:val="auto"/>
              </w:rPr>
              <w:t>2.8</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20" w:type="dxa"/>
            <w:vAlign w:val="bottom"/>
            <w:gridSpan w:val="2"/>
            <w:shd w:val="clear" w:color="auto" w:fill="CFF0FC"/>
          </w:tcPr>
          <w:p>
            <w:pPr>
              <w:jc w:val="right"/>
              <w:ind w:right="39"/>
              <w:spacing w:after="0"/>
              <w:rPr>
                <w:sz w:val="20"/>
                <w:szCs w:val="20"/>
                <w:color w:val="auto"/>
              </w:rPr>
            </w:pPr>
            <w:r>
              <w:rPr>
                <w:rFonts w:ascii="Arial" w:cs="Arial" w:eastAsia="Arial" w:hAnsi="Arial"/>
                <w:sz w:val="8"/>
                <w:szCs w:val="8"/>
                <w:color w:val="auto"/>
              </w:rPr>
              <w:t>(32.5)</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20" w:type="dxa"/>
            <w:vAlign w:val="bottom"/>
            <w:gridSpan w:val="2"/>
            <w:shd w:val="clear" w:color="auto" w:fill="CFF0FC"/>
          </w:tcPr>
          <w:p>
            <w:pPr>
              <w:jc w:val="right"/>
              <w:ind w:right="39"/>
              <w:spacing w:after="0"/>
              <w:rPr>
                <w:sz w:val="20"/>
                <w:szCs w:val="20"/>
                <w:color w:val="auto"/>
              </w:rPr>
            </w:pPr>
            <w:r>
              <w:rPr>
                <w:rFonts w:ascii="Arial" w:cs="Arial" w:eastAsia="Arial" w:hAnsi="Arial"/>
                <w:sz w:val="8"/>
                <w:szCs w:val="8"/>
                <w:color w:val="auto"/>
              </w:rPr>
              <w:t>(0.7)</w:t>
            </w:r>
          </w:p>
        </w:tc>
        <w:tc>
          <w:tcPr>
            <w:tcW w:w="220" w:type="dxa"/>
            <w:vAlign w:val="bottom"/>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900" w:type="dxa"/>
            <w:vAlign w:val="bottom"/>
            <w:tcBorders>
              <w:right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11.4</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8"/>
                <w:szCs w:val="8"/>
                <w:color w:val="auto"/>
              </w:rPr>
              <w:t>(19.0)</w:t>
            </w:r>
          </w:p>
        </w:tc>
      </w:tr>
      <w:tr>
        <w:trPr>
          <w:trHeight w:val="103"/>
        </w:trPr>
        <w:tc>
          <w:tcPr>
            <w:tcW w:w="1820" w:type="dxa"/>
            <w:vAlign w:val="bottom"/>
          </w:tcPr>
          <w:p>
            <w:pPr>
              <w:spacing w:after="0"/>
              <w:rPr>
                <w:sz w:val="20"/>
                <w:szCs w:val="20"/>
                <w:color w:val="auto"/>
              </w:rPr>
            </w:pPr>
            <w:r>
              <w:rPr>
                <w:rFonts w:ascii="Arial" w:cs="Arial" w:eastAsia="Arial" w:hAnsi="Arial"/>
                <w:sz w:val="8"/>
                <w:szCs w:val="8"/>
                <w:color w:val="auto"/>
              </w:rPr>
              <w:t>Distributions</w:t>
            </w:r>
          </w:p>
        </w:tc>
        <w:tc>
          <w:tcPr>
            <w:tcW w:w="600" w:type="dxa"/>
            <w:vAlign w:val="bottom"/>
          </w:tcPr>
          <w:p>
            <w:pPr>
              <w:spacing w:after="0"/>
              <w:rPr>
                <w:sz w:val="8"/>
                <w:szCs w:val="8"/>
                <w:color w:val="auto"/>
              </w:rPr>
            </w:pPr>
          </w:p>
        </w:tc>
        <w:tc>
          <w:tcPr>
            <w:tcW w:w="26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(2.8)</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gridSpan w:val="2"/>
          </w:tcPr>
          <w:p>
            <w:pPr>
              <w:jc w:val="right"/>
              <w:ind w:right="39"/>
              <w:spacing w:after="0"/>
              <w:rPr>
                <w:sz w:val="20"/>
                <w:szCs w:val="20"/>
                <w:color w:val="auto"/>
              </w:rPr>
            </w:pPr>
            <w:r>
              <w:rPr>
                <w:rFonts w:ascii="Arial" w:cs="Arial" w:eastAsia="Arial" w:hAnsi="Arial"/>
                <w:sz w:val="8"/>
                <w:szCs w:val="8"/>
                <w:color w:val="auto"/>
              </w:rPr>
              <w:t>(233.7)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gridSpan w:val="2"/>
          </w:tcPr>
          <w:p>
            <w:pPr>
              <w:jc w:val="right"/>
              <w:ind w:right="39"/>
              <w:spacing w:after="0"/>
              <w:rPr>
                <w:sz w:val="20"/>
                <w:szCs w:val="20"/>
                <w:color w:val="auto"/>
              </w:rPr>
            </w:pPr>
            <w:r>
              <w:rPr>
                <w:rFonts w:ascii="Arial" w:cs="Arial" w:eastAsia="Arial" w:hAnsi="Arial"/>
                <w:sz w:val="8"/>
                <w:szCs w:val="8"/>
                <w:color w:val="auto"/>
              </w:rPr>
              <w:t>(4.8)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8"/>
                <w:szCs w:val="8"/>
                <w:color w:val="auto"/>
              </w:rPr>
              <w:t>(241.3)</w:t>
            </w:r>
          </w:p>
        </w:tc>
      </w:tr>
      <w:tr>
        <w:trPr>
          <w:trHeight w:val="20"/>
        </w:trPr>
        <w:tc>
          <w:tcPr>
            <w:tcW w:w="182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r>
      <w:tr>
        <w:trPr>
          <w:trHeight w:val="101"/>
        </w:trPr>
        <w:tc>
          <w:tcPr>
            <w:tcW w:w="18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8"/>
                <w:szCs w:val="8"/>
                <w:b w:val="1"/>
                <w:bCs w:val="1"/>
                <w:color w:val="auto"/>
              </w:rPr>
              <w:t>Balance, March 31, 2019</w:t>
            </w:r>
          </w:p>
        </w:tc>
        <w:tc>
          <w:tcPr>
            <w:tcW w:w="600" w:type="dxa"/>
            <w:vAlign w:val="bottom"/>
            <w:shd w:val="clear" w:color="auto" w:fill="CFF0FC"/>
          </w:tcPr>
          <w:p>
            <w:pPr>
              <w:spacing w:after="0"/>
              <w:rPr>
                <w:sz w:val="8"/>
                <w:szCs w:val="8"/>
                <w:color w:val="auto"/>
              </w:rPr>
            </w:pPr>
          </w:p>
        </w:tc>
        <w:tc>
          <w:tcPr>
            <w:tcW w:w="260" w:type="dxa"/>
            <w:vAlign w:val="bottom"/>
            <w:tcBorders>
              <w:right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89"/>
              </w:rPr>
              <w:t>5,000</w:t>
            </w:r>
          </w:p>
        </w:tc>
        <w:tc>
          <w:tcPr>
            <w:tcW w:w="24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color w:val="auto"/>
              </w:rPr>
              <w:t>120.6</w:t>
            </w:r>
          </w:p>
        </w:tc>
        <w:tc>
          <w:tcPr>
            <w:tcW w:w="140" w:type="dxa"/>
            <w:vAlign w:val="bottom"/>
            <w:shd w:val="clear" w:color="auto" w:fill="CFF0FC"/>
          </w:tcPr>
          <w:p>
            <w:pPr>
              <w:spacing w:after="0"/>
              <w:rPr>
                <w:sz w:val="8"/>
                <w:szCs w:val="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275,168</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5,961.0</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5,629</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797.1</w:t>
            </w: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jc w:val="right"/>
              <w:ind w:right="107"/>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8"/>
                <w:szCs w:val="8"/>
                <w:color w:val="auto"/>
              </w:rPr>
              <w:t>64.8</w:t>
            </w:r>
          </w:p>
        </w:tc>
        <w:tc>
          <w:tcPr>
            <w:tcW w:w="220" w:type="dxa"/>
            <w:vAlign w:val="bottom"/>
            <w:tcBorders>
              <w:right w:val="single" w:sz="8" w:color="CFF0FC"/>
            </w:tcBorders>
            <w:shd w:val="clear" w:color="auto" w:fill="CFF0FC"/>
          </w:tcPr>
          <w:p>
            <w:pPr>
              <w:spacing w:after="0"/>
              <w:rPr>
                <w:sz w:val="8"/>
                <w:szCs w:val="8"/>
                <w:color w:val="auto"/>
              </w:rPr>
            </w:pPr>
          </w:p>
        </w:tc>
        <w:tc>
          <w:tcPr>
            <w:tcW w:w="120" w:type="dxa"/>
            <w:vAlign w:val="bottom"/>
            <w:shd w:val="clear" w:color="auto" w:fill="CFF0FC"/>
          </w:tcPr>
          <w:p>
            <w:pPr>
              <w:jc w:val="right"/>
              <w:ind w:right="47"/>
              <w:spacing w:after="0"/>
              <w:rPr>
                <w:sz w:val="20"/>
                <w:szCs w:val="20"/>
                <w:color w:val="auto"/>
              </w:rPr>
            </w:pPr>
            <w:r>
              <w:rPr>
                <w:rFonts w:ascii="Arial" w:cs="Arial" w:eastAsia="Arial" w:hAnsi="Arial"/>
                <w:sz w:val="5"/>
                <w:szCs w:val="5"/>
                <w:color w:val="auto"/>
                <w:w w:val="70"/>
              </w:rPr>
              <w:t>$</w:t>
            </w:r>
          </w:p>
        </w:tc>
        <w:tc>
          <w:tcPr>
            <w:tcW w:w="8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1,460.4</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jc w:val="right"/>
              <w:ind w:right="27"/>
              <w:spacing w:after="0"/>
              <w:rPr>
                <w:sz w:val="20"/>
                <w:szCs w:val="20"/>
                <w:color w:val="auto"/>
              </w:rPr>
            </w:pPr>
            <w:r>
              <w:rPr>
                <w:rFonts w:ascii="Arial" w:cs="Arial" w:eastAsia="Arial" w:hAnsi="Arial"/>
                <w:sz w:val="5"/>
                <w:szCs w:val="5"/>
                <w:color w:val="auto"/>
                <w:w w:val="70"/>
              </w:rPr>
              <w:t>$</w:t>
            </w:r>
          </w:p>
        </w:tc>
        <w:tc>
          <w:tcPr>
            <w:tcW w:w="14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8"/>
                <w:szCs w:val="8"/>
                <w:color w:val="auto"/>
              </w:rPr>
              <w:t>8,403.9</w:t>
            </w:r>
          </w:p>
        </w:tc>
        <w:tc>
          <w:tcPr>
            <w:tcW w:w="120" w:type="dxa"/>
            <w:vAlign w:val="bottom"/>
            <w:tcBorders>
              <w:right w:val="single" w:sz="8" w:color="CFF0FC"/>
            </w:tcBorders>
            <w:shd w:val="clear" w:color="auto" w:fill="CFF0FC"/>
          </w:tcPr>
          <w:p>
            <w:pPr>
              <w:spacing w:after="0"/>
              <w:rPr>
                <w:sz w:val="8"/>
                <w:szCs w:val="8"/>
                <w:color w:val="auto"/>
              </w:rPr>
            </w:pPr>
          </w:p>
        </w:tc>
      </w:tr>
      <w:tr>
        <w:trPr>
          <w:trHeight w:val="183"/>
        </w:trPr>
        <w:tc>
          <w:tcPr>
            <w:tcW w:w="1820" w:type="dxa"/>
            <w:vAlign w:val="bottom"/>
            <w:tcBorders>
              <w:top w:val="single" w:sz="8" w:color="CFF0FC"/>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ind w:left="19"/>
              <w:spacing w:after="0"/>
              <w:rPr>
                <w:sz w:val="20"/>
                <w:szCs w:val="20"/>
                <w:color w:val="auto"/>
              </w:rPr>
            </w:pPr>
            <w:r>
              <w:rPr>
                <w:rFonts w:ascii="Arial" w:cs="Arial" w:eastAsia="Arial" w:hAnsi="Arial"/>
                <w:sz w:val="8"/>
                <w:szCs w:val="8"/>
                <w:b w:val="1"/>
                <w:bCs w:val="1"/>
                <w:color w:val="auto"/>
                <w:w w:val="91"/>
              </w:rPr>
              <w:t>Accumulated</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103"/>
        </w:trPr>
        <w:tc>
          <w:tcPr>
            <w:tcW w:w="1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tcPr>
          <w:p>
            <w:pPr>
              <w:spacing w:after="0"/>
              <w:rPr>
                <w:sz w:val="20"/>
                <w:szCs w:val="20"/>
                <w:color w:val="auto"/>
              </w:rPr>
            </w:pPr>
            <w:r>
              <w:rPr>
                <w:rFonts w:ascii="Arial" w:cs="Arial" w:eastAsia="Arial" w:hAnsi="Arial"/>
                <w:sz w:val="8"/>
                <w:szCs w:val="8"/>
                <w:b w:val="1"/>
                <w:bCs w:val="1"/>
                <w:color w:val="auto"/>
              </w:rPr>
              <w:t>Limited</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gridSpan w:val="4"/>
          </w:tcPr>
          <w:p>
            <w:pPr>
              <w:jc w:val="right"/>
              <w:ind w:right="220"/>
              <w:spacing w:after="0"/>
              <w:rPr>
                <w:sz w:val="20"/>
                <w:szCs w:val="20"/>
                <w:color w:val="auto"/>
              </w:rPr>
            </w:pPr>
            <w:r>
              <w:rPr>
                <w:rFonts w:ascii="Arial" w:cs="Arial" w:eastAsia="Arial" w:hAnsi="Arial"/>
                <w:sz w:val="8"/>
                <w:szCs w:val="8"/>
                <w:b w:val="1"/>
                <w:bCs w:val="1"/>
                <w:color w:val="auto"/>
              </w:rPr>
              <w:t>Limited</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gridSpan w:val="4"/>
          </w:tcPr>
          <w:p>
            <w:pPr>
              <w:jc w:val="right"/>
              <w:ind w:right="200"/>
              <w:spacing w:after="0"/>
              <w:rPr>
                <w:sz w:val="20"/>
                <w:szCs w:val="20"/>
                <w:color w:val="auto"/>
              </w:rPr>
            </w:pPr>
            <w:r>
              <w:rPr>
                <w:rFonts w:ascii="Arial" w:cs="Arial" w:eastAsia="Arial" w:hAnsi="Arial"/>
                <w:sz w:val="8"/>
                <w:szCs w:val="8"/>
                <w:b w:val="1"/>
                <w:bCs w:val="1"/>
                <w:color w:val="auto"/>
              </w:rPr>
              <w:t>General</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tcPr>
          <w:p>
            <w:pPr>
              <w:jc w:val="center"/>
              <w:ind w:right="139"/>
              <w:spacing w:after="0"/>
              <w:rPr>
                <w:sz w:val="20"/>
                <w:szCs w:val="20"/>
                <w:color w:val="auto"/>
              </w:rPr>
            </w:pPr>
            <w:r>
              <w:rPr>
                <w:rFonts w:ascii="Arial" w:cs="Arial" w:eastAsia="Arial" w:hAnsi="Arial"/>
                <w:sz w:val="8"/>
                <w:szCs w:val="8"/>
                <w:b w:val="1"/>
                <w:bCs w:val="1"/>
                <w:color w:val="auto"/>
                <w:w w:val="93"/>
              </w:rPr>
              <w:t>Other</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8"/>
                <w:szCs w:val="8"/>
                <w:b w:val="1"/>
                <w:bCs w:val="1"/>
                <w:color w:val="auto"/>
                <w:w w:val="98"/>
              </w:rPr>
              <w:t>Non-</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18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8"/>
                <w:szCs w:val="8"/>
                <w:b w:val="1"/>
                <w:bCs w:val="1"/>
                <w:color w:val="auto"/>
              </w:rPr>
              <w:t>Partner</w:t>
            </w: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8"/>
                <w:szCs w:val="8"/>
                <w:b w:val="1"/>
                <w:bCs w:val="1"/>
                <w:color w:val="auto"/>
              </w:rPr>
              <w:t>Partner</w:t>
            </w: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8"/>
                <w:szCs w:val="8"/>
                <w:b w:val="1"/>
                <w:bCs w:val="1"/>
                <w:color w:val="auto"/>
              </w:rPr>
              <w:t>Partner</w:t>
            </w: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tcPr>
          <w:p>
            <w:pPr>
              <w:jc w:val="center"/>
              <w:ind w:right="119"/>
              <w:spacing w:after="0"/>
              <w:rPr>
                <w:sz w:val="20"/>
                <w:szCs w:val="20"/>
                <w:color w:val="auto"/>
              </w:rPr>
            </w:pPr>
            <w:r>
              <w:rPr>
                <w:rFonts w:ascii="Arial" w:cs="Arial" w:eastAsia="Arial" w:hAnsi="Arial"/>
                <w:sz w:val="8"/>
                <w:szCs w:val="8"/>
                <w:b w:val="1"/>
                <w:bCs w:val="1"/>
                <w:color w:val="auto"/>
                <w:w w:val="89"/>
              </w:rPr>
              <w:t>Comprehensive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8"/>
                <w:szCs w:val="8"/>
                <w:b w:val="1"/>
                <w:bCs w:val="1"/>
                <w:color w:val="auto"/>
                <w:w w:val="91"/>
              </w:rPr>
              <w:t>controlling</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3"/>
        </w:trPr>
        <w:tc>
          <w:tcPr>
            <w:tcW w:w="1820" w:type="dxa"/>
            <w:vAlign w:val="bottom"/>
          </w:tcPr>
          <w:p>
            <w:pPr>
              <w:spacing w:after="0"/>
              <w:rPr>
                <w:sz w:val="8"/>
                <w:szCs w:val="8"/>
                <w:color w:val="auto"/>
              </w:rPr>
            </w:pPr>
          </w:p>
        </w:tc>
        <w:tc>
          <w:tcPr>
            <w:tcW w:w="600" w:type="dxa"/>
            <w:vAlign w:val="bottom"/>
          </w:tcPr>
          <w:p>
            <w:pPr>
              <w:ind w:left="260"/>
              <w:spacing w:after="0"/>
              <w:rPr>
                <w:sz w:val="20"/>
                <w:szCs w:val="20"/>
                <w:color w:val="auto"/>
              </w:rPr>
            </w:pPr>
            <w:r>
              <w:rPr>
                <w:rFonts w:ascii="Arial" w:cs="Arial" w:eastAsia="Arial" w:hAnsi="Arial"/>
                <w:sz w:val="8"/>
                <w:szCs w:val="8"/>
                <w:b w:val="1"/>
                <w:bCs w:val="1"/>
                <w:color w:val="auto"/>
                <w:w w:val="89"/>
              </w:rPr>
              <w:t>Preferred</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8"/>
                <w:szCs w:val="8"/>
                <w:b w:val="1"/>
                <w:bCs w:val="1"/>
                <w:color w:val="auto"/>
                <w:w w:val="99"/>
              </w:rPr>
              <w:t>Amount</w:t>
            </w:r>
          </w:p>
        </w:tc>
        <w:tc>
          <w:tcPr>
            <w:tcW w:w="120" w:type="dxa"/>
            <w:vAlign w:val="bottom"/>
          </w:tcPr>
          <w:p>
            <w:pPr>
              <w:spacing w:after="0"/>
              <w:rPr>
                <w:sz w:val="8"/>
                <w:szCs w:val="8"/>
                <w:color w:val="auto"/>
              </w:rPr>
            </w:pPr>
          </w:p>
        </w:tc>
        <w:tc>
          <w:tcPr>
            <w:tcW w:w="960" w:type="dxa"/>
            <w:vAlign w:val="bottom"/>
            <w:gridSpan w:val="3"/>
          </w:tcPr>
          <w:p>
            <w:pPr>
              <w:ind w:left="260"/>
              <w:spacing w:after="0"/>
              <w:rPr>
                <w:sz w:val="20"/>
                <w:szCs w:val="20"/>
                <w:color w:val="auto"/>
              </w:rPr>
            </w:pPr>
            <w:r>
              <w:rPr>
                <w:rFonts w:ascii="Arial" w:cs="Arial" w:eastAsia="Arial" w:hAnsi="Arial"/>
                <w:sz w:val="8"/>
                <w:szCs w:val="8"/>
                <w:b w:val="1"/>
                <w:bCs w:val="1"/>
                <w:color w:val="auto"/>
              </w:rPr>
              <w:t>Common</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8"/>
                <w:szCs w:val="8"/>
                <w:b w:val="1"/>
                <w:bCs w:val="1"/>
                <w:color w:val="auto"/>
              </w:rPr>
              <w:t>Amount</w:t>
            </w:r>
          </w:p>
        </w:tc>
        <w:tc>
          <w:tcPr>
            <w:tcW w:w="100" w:type="dxa"/>
            <w:vAlign w:val="bottom"/>
          </w:tcPr>
          <w:p>
            <w:pPr>
              <w:spacing w:after="0"/>
              <w:rPr>
                <w:sz w:val="8"/>
                <w:szCs w:val="8"/>
                <w:color w:val="auto"/>
              </w:rPr>
            </w:pPr>
          </w:p>
        </w:tc>
        <w:tc>
          <w:tcPr>
            <w:tcW w:w="960" w:type="dxa"/>
            <w:vAlign w:val="bottom"/>
            <w:gridSpan w:val="3"/>
          </w:tcPr>
          <w:p>
            <w:pPr>
              <w:ind w:left="340"/>
              <w:spacing w:after="0"/>
              <w:rPr>
                <w:sz w:val="20"/>
                <w:szCs w:val="20"/>
                <w:color w:val="auto"/>
              </w:rPr>
            </w:pPr>
            <w:r>
              <w:rPr>
                <w:rFonts w:ascii="Arial" w:cs="Arial" w:eastAsia="Arial" w:hAnsi="Arial"/>
                <w:sz w:val="8"/>
                <w:szCs w:val="8"/>
                <w:b w:val="1"/>
                <w:bCs w:val="1"/>
                <w:color w:val="auto"/>
              </w:rPr>
              <w:t>Units</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3"/>
          </w:tcPr>
          <w:p>
            <w:pPr>
              <w:jc w:val="right"/>
              <w:ind w:right="500"/>
              <w:spacing w:after="0"/>
              <w:rPr>
                <w:sz w:val="20"/>
                <w:szCs w:val="20"/>
                <w:color w:val="auto"/>
              </w:rPr>
            </w:pPr>
            <w:r>
              <w:rPr>
                <w:rFonts w:ascii="Arial" w:cs="Arial" w:eastAsia="Arial" w:hAnsi="Arial"/>
                <w:sz w:val="8"/>
                <w:szCs w:val="8"/>
                <w:b w:val="1"/>
                <w:bCs w:val="1"/>
                <w:color w:val="auto"/>
              </w:rPr>
              <w:t>Amount</w:t>
            </w:r>
          </w:p>
        </w:tc>
        <w:tc>
          <w:tcPr>
            <w:tcW w:w="180" w:type="dxa"/>
            <w:vAlign w:val="bottom"/>
          </w:tcPr>
          <w:p>
            <w:pPr>
              <w:spacing w:after="0"/>
              <w:rPr>
                <w:sz w:val="8"/>
                <w:szCs w:val="8"/>
                <w:color w:val="auto"/>
              </w:rPr>
            </w:pPr>
          </w:p>
        </w:tc>
        <w:tc>
          <w:tcPr>
            <w:tcW w:w="900" w:type="dxa"/>
            <w:vAlign w:val="bottom"/>
            <w:gridSpan w:val="2"/>
          </w:tcPr>
          <w:p>
            <w:pPr>
              <w:jc w:val="center"/>
              <w:ind w:right="139"/>
              <w:spacing w:after="0"/>
              <w:rPr>
                <w:sz w:val="20"/>
                <w:szCs w:val="20"/>
                <w:color w:val="auto"/>
              </w:rPr>
            </w:pPr>
            <w:r>
              <w:rPr>
                <w:rFonts w:ascii="Arial" w:cs="Arial" w:eastAsia="Arial" w:hAnsi="Arial"/>
                <w:sz w:val="8"/>
                <w:szCs w:val="8"/>
                <w:b w:val="1"/>
                <w:bCs w:val="1"/>
                <w:color w:val="auto"/>
                <w:w w:val="88"/>
              </w:rPr>
              <w:t>Income (Loss)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8"/>
                <w:szCs w:val="8"/>
                <w:b w:val="1"/>
                <w:bCs w:val="1"/>
                <w:color w:val="auto"/>
                <w:w w:val="89"/>
              </w:rPr>
              <w:t>Interests</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8"/>
                <w:szCs w:val="8"/>
                <w:b w:val="1"/>
                <w:bCs w:val="1"/>
                <w:color w:val="auto"/>
              </w:rPr>
              <w:t>Total</w:t>
            </w:r>
          </w:p>
        </w:tc>
      </w:tr>
      <w:tr>
        <w:trPr>
          <w:trHeight w:val="97"/>
        </w:trPr>
        <w:tc>
          <w:tcPr>
            <w:tcW w:w="18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3"/>
          </w:tcPr>
          <w:p>
            <w:pPr>
              <w:ind w:left="220"/>
              <w:spacing w:after="0"/>
              <w:rPr>
                <w:sz w:val="20"/>
                <w:szCs w:val="20"/>
                <w:color w:val="auto"/>
              </w:rPr>
            </w:pPr>
            <w:r>
              <w:rPr>
                <w:rFonts w:ascii="Arial" w:cs="Arial" w:eastAsia="Arial" w:hAnsi="Arial"/>
                <w:sz w:val="8"/>
                <w:szCs w:val="8"/>
                <w:b w:val="1"/>
                <w:bCs w:val="1"/>
                <w:color w:val="auto"/>
              </w:rPr>
              <w:t>(Unaudited)</w:t>
            </w:r>
          </w:p>
        </w:tc>
        <w:tc>
          <w:tcPr>
            <w:tcW w:w="1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r>
      <w:tr>
        <w:trPr>
          <w:trHeight w:val="105"/>
        </w:trPr>
        <w:tc>
          <w:tcPr>
            <w:tcW w:w="1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20" w:type="dxa"/>
            <w:vAlign w:val="bottom"/>
            <w:gridSpan w:val="8"/>
          </w:tcPr>
          <w:p>
            <w:pPr>
              <w:jc w:val="right"/>
              <w:ind w:right="180"/>
              <w:spacing w:after="0"/>
              <w:rPr>
                <w:sz w:val="20"/>
                <w:szCs w:val="20"/>
                <w:color w:val="auto"/>
              </w:rPr>
            </w:pPr>
            <w:r>
              <w:rPr>
                <w:rFonts w:ascii="Arial" w:cs="Arial" w:eastAsia="Arial" w:hAnsi="Arial"/>
                <w:sz w:val="8"/>
                <w:szCs w:val="8"/>
                <w:b w:val="1"/>
                <w:bCs w:val="1"/>
                <w:color w:val="auto"/>
                <w:w w:val="95"/>
              </w:rPr>
              <w:t>(In millions, except units in thousands)</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2"/>
        </w:trPr>
        <w:tc>
          <w:tcPr>
            <w:tcW w:w="182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spacing w:after="0"/>
              <w:rPr>
                <w:sz w:val="17"/>
                <w:szCs w:val="17"/>
                <w:color w:val="auto"/>
              </w:rPr>
            </w:pPr>
          </w:p>
        </w:tc>
      </w:tr>
      <w:tr>
        <w:trPr>
          <w:trHeight w:val="93"/>
        </w:trPr>
        <w:tc>
          <w:tcPr>
            <w:tcW w:w="2420" w:type="dxa"/>
            <w:vAlign w:val="bottom"/>
            <w:gridSpan w:val="2"/>
            <w:shd w:val="clear" w:color="auto" w:fill="CFF0FC"/>
          </w:tcPr>
          <w:p>
            <w:pPr>
              <w:spacing w:after="0"/>
              <w:rPr>
                <w:sz w:val="20"/>
                <w:szCs w:val="20"/>
                <w:color w:val="auto"/>
              </w:rPr>
            </w:pPr>
            <w:r>
              <w:rPr>
                <w:rFonts w:ascii="Arial" w:cs="Arial" w:eastAsia="Arial" w:hAnsi="Arial"/>
                <w:sz w:val="8"/>
                <w:szCs w:val="8"/>
                <w:b w:val="1"/>
                <w:bCs w:val="1"/>
                <w:color w:val="auto"/>
              </w:rPr>
              <w:t>Balance, December 31, 2017</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rPr>
              <w:t>5,000</w:t>
            </w:r>
          </w:p>
        </w:tc>
        <w:tc>
          <w:tcPr>
            <w:tcW w:w="500" w:type="dxa"/>
            <w:vAlign w:val="bottom"/>
            <w:gridSpan w:val="2"/>
            <w:shd w:val="clear" w:color="auto" w:fill="CFF0FC"/>
          </w:tcPr>
          <w:p>
            <w:pPr>
              <w:jc w:val="right"/>
              <w:ind w:right="195"/>
              <w:spacing w:after="0"/>
              <w:rPr>
                <w:sz w:val="20"/>
                <w:szCs w:val="20"/>
                <w:color w:val="auto"/>
              </w:rPr>
            </w:pPr>
            <w:r>
              <w:rPr>
                <w:rFonts w:ascii="Arial" w:cs="Arial" w:eastAsia="Arial" w:hAnsi="Arial"/>
                <w:sz w:val="8"/>
                <w:szCs w:val="8"/>
                <w:color w:val="auto"/>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rPr>
              <w:t>120.6</w:t>
            </w:r>
          </w:p>
        </w:tc>
        <w:tc>
          <w:tcPr>
            <w:tcW w:w="140" w:type="dxa"/>
            <w:vAlign w:val="bottom"/>
            <w:shd w:val="clear" w:color="auto" w:fill="CFF0FC"/>
          </w:tcPr>
          <w:p>
            <w:pPr>
              <w:spacing w:after="0"/>
              <w:rPr>
                <w:sz w:val="8"/>
                <w:szCs w:val="8"/>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8"/>
                <w:szCs w:val="8"/>
                <w:color w:val="auto"/>
              </w:rPr>
              <w:t>275,168</w:t>
            </w:r>
          </w:p>
        </w:tc>
        <w:tc>
          <w:tcPr>
            <w:tcW w:w="120" w:type="dxa"/>
            <w:vAlign w:val="bottom"/>
            <w:shd w:val="clear" w:color="auto" w:fill="CFF0FC"/>
          </w:tcPr>
          <w:p>
            <w:pPr>
              <w:spacing w:after="0"/>
              <w:rPr>
                <w:sz w:val="8"/>
                <w:szCs w:val="8"/>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6,500.3</w:t>
            </w:r>
          </w:p>
        </w:tc>
        <w:tc>
          <w:tcPr>
            <w:tcW w:w="120" w:type="dxa"/>
            <w:vAlign w:val="bottom"/>
            <w:shd w:val="clear" w:color="auto" w:fill="CFF0FC"/>
          </w:tcPr>
          <w:p>
            <w:pPr>
              <w:spacing w:after="0"/>
              <w:rPr>
                <w:sz w:val="8"/>
                <w:szCs w:val="8"/>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8"/>
                <w:szCs w:val="8"/>
                <w:color w:val="auto"/>
              </w:rPr>
              <w:t>5,629</w:t>
            </w:r>
          </w:p>
        </w:tc>
        <w:tc>
          <w:tcPr>
            <w:tcW w:w="100" w:type="dxa"/>
            <w:vAlign w:val="bottom"/>
            <w:shd w:val="clear" w:color="auto" w:fill="CFF0FC"/>
          </w:tcPr>
          <w:p>
            <w:pPr>
              <w:spacing w:after="0"/>
              <w:rPr>
                <w:sz w:val="8"/>
                <w:szCs w:val="8"/>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808.2</w:t>
            </w:r>
          </w:p>
        </w:tc>
        <w:tc>
          <w:tcPr>
            <w:tcW w:w="220" w:type="dxa"/>
            <w:vAlign w:val="bottom"/>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900" w:type="dxa"/>
            <w:vAlign w:val="bottom"/>
            <w:tcBorders>
              <w:right w:val="single" w:sz="8" w:color="CFF0FC"/>
            </w:tcBorders>
            <w:gridSpan w:val="2"/>
            <w:shd w:val="clear" w:color="auto" w:fill="CFF0FC"/>
          </w:tcPr>
          <w:p>
            <w:pPr>
              <w:jc w:val="right"/>
              <w:ind w:right="39"/>
              <w:spacing w:after="0"/>
              <w:rPr>
                <w:sz w:val="20"/>
                <w:szCs w:val="20"/>
                <w:color w:val="auto"/>
              </w:rPr>
            </w:pPr>
            <w:r>
              <w:rPr>
                <w:rFonts w:ascii="Arial" w:cs="Arial" w:eastAsia="Arial" w:hAnsi="Arial"/>
                <w:sz w:val="8"/>
                <w:szCs w:val="8"/>
                <w:color w:val="auto"/>
              </w:rPr>
              <w:t>(46.0)</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475.1</w:t>
            </w:r>
          </w:p>
        </w:tc>
        <w:tc>
          <w:tcPr>
            <w:tcW w:w="120" w:type="dxa"/>
            <w:vAlign w:val="bottom"/>
            <w:shd w:val="clear" w:color="auto" w:fill="CFF0FC"/>
          </w:tcPr>
          <w:p>
            <w:pPr>
              <w:spacing w:after="0"/>
              <w:rPr>
                <w:sz w:val="8"/>
                <w:szCs w:val="8"/>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7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8"/>
                <w:szCs w:val="8"/>
                <w:color w:val="auto"/>
              </w:rPr>
              <w:t>7,858.2</w:t>
            </w:r>
          </w:p>
        </w:tc>
      </w:tr>
      <w:tr>
        <w:trPr>
          <w:trHeight w:val="103"/>
        </w:trPr>
        <w:tc>
          <w:tcPr>
            <w:tcW w:w="2420" w:type="dxa"/>
            <w:vAlign w:val="bottom"/>
            <w:gridSpan w:val="2"/>
          </w:tcPr>
          <w:p>
            <w:pPr>
              <w:spacing w:after="0"/>
              <w:rPr>
                <w:sz w:val="20"/>
                <w:szCs w:val="20"/>
                <w:color w:val="auto"/>
              </w:rPr>
            </w:pPr>
            <w:r>
              <w:rPr>
                <w:rFonts w:ascii="Arial" w:cs="Arial" w:eastAsia="Arial" w:hAnsi="Arial"/>
                <w:sz w:val="8"/>
                <w:szCs w:val="8"/>
                <w:color w:val="auto"/>
              </w:rPr>
              <w:t>Contributions from Targa Resources Corp.</w:t>
            </w:r>
          </w:p>
        </w:tc>
        <w:tc>
          <w:tcPr>
            <w:tcW w:w="26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gridSpan w:val="2"/>
          </w:tcPr>
          <w:p>
            <w:pPr>
              <w:jc w:val="right"/>
              <w:spacing w:after="0"/>
              <w:rPr>
                <w:sz w:val="20"/>
                <w:szCs w:val="20"/>
                <w:color w:val="auto"/>
              </w:rPr>
            </w:pPr>
            <w:r>
              <w:rPr>
                <w:rFonts w:ascii="Arial" w:cs="Arial" w:eastAsia="Arial" w:hAnsi="Arial"/>
                <w:sz w:val="8"/>
                <w:szCs w:val="8"/>
                <w:color w:val="auto"/>
              </w:rPr>
              <w:t>58.8</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gridSpan w:val="2"/>
          </w:tcPr>
          <w:p>
            <w:pPr>
              <w:jc w:val="right"/>
              <w:spacing w:after="0"/>
              <w:rPr>
                <w:sz w:val="20"/>
                <w:szCs w:val="20"/>
                <w:color w:val="auto"/>
              </w:rPr>
            </w:pPr>
            <w:r>
              <w:rPr>
                <w:rFonts w:ascii="Arial" w:cs="Arial" w:eastAsia="Arial" w:hAnsi="Arial"/>
                <w:sz w:val="8"/>
                <w:szCs w:val="8"/>
                <w:color w:val="auto"/>
              </w:rPr>
              <w:t>1.2</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jc w:val="right"/>
              <w:ind w:right="79"/>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8"/>
                <w:szCs w:val="8"/>
                <w:color w:val="auto"/>
              </w:rPr>
              <w:t>60.0</w:t>
            </w:r>
          </w:p>
        </w:tc>
      </w:tr>
      <w:tr>
        <w:trPr>
          <w:trHeight w:val="103"/>
        </w:trPr>
        <w:tc>
          <w:tcPr>
            <w:tcW w:w="2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Purchase of noncontrolling interests in subsidiary</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tcBorders>
              <w:right w:val="single" w:sz="8" w:color="CFF0FC"/>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w w:val="99"/>
              </w:rPr>
              <w:t>—</w:t>
            </w:r>
          </w:p>
        </w:tc>
        <w:tc>
          <w:tcPr>
            <w:tcW w:w="1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32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w w:val="99"/>
              </w:rPr>
              <w:t>—</w:t>
            </w:r>
          </w:p>
        </w:tc>
        <w:tc>
          <w:tcPr>
            <w:tcW w:w="180" w:type="dxa"/>
            <w:vAlign w:val="bottom"/>
            <w:tcBorders>
              <w:right w:val="single" w:sz="8" w:color="CFF0FC"/>
            </w:tcBorders>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jc w:val="right"/>
              <w:ind w:right="79"/>
              <w:spacing w:after="0"/>
              <w:rPr>
                <w:sz w:val="20"/>
                <w:szCs w:val="20"/>
                <w:color w:val="auto"/>
              </w:rPr>
            </w:pPr>
            <w:r>
              <w:rPr>
                <w:rFonts w:ascii="Arial" w:cs="Arial" w:eastAsia="Arial" w:hAnsi="Arial"/>
                <w:sz w:val="8"/>
                <w:szCs w:val="8"/>
                <w:color w:val="auto"/>
                <w:w w:val="99"/>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1.2</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8"/>
                <w:szCs w:val="8"/>
                <w:color w:val="auto"/>
              </w:rPr>
              <w:t>1.2</w:t>
            </w:r>
          </w:p>
        </w:tc>
      </w:tr>
      <w:tr>
        <w:trPr>
          <w:trHeight w:val="103"/>
        </w:trPr>
        <w:tc>
          <w:tcPr>
            <w:tcW w:w="2420" w:type="dxa"/>
            <w:vAlign w:val="bottom"/>
            <w:gridSpan w:val="2"/>
          </w:tcPr>
          <w:p>
            <w:pPr>
              <w:spacing w:after="0"/>
              <w:rPr>
                <w:sz w:val="20"/>
                <w:szCs w:val="20"/>
                <w:color w:val="auto"/>
              </w:rPr>
            </w:pPr>
            <w:r>
              <w:rPr>
                <w:rFonts w:ascii="Arial" w:cs="Arial" w:eastAsia="Arial" w:hAnsi="Arial"/>
                <w:sz w:val="8"/>
                <w:szCs w:val="8"/>
                <w:color w:val="auto"/>
              </w:rPr>
              <w:t>Distributions to noncontrolling interests</w:t>
            </w:r>
          </w:p>
        </w:tc>
        <w:tc>
          <w:tcPr>
            <w:tcW w:w="26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8"/>
                <w:szCs w:val="8"/>
                <w:color w:val="auto"/>
                <w:w w:val="99"/>
              </w:rPr>
              <w:t>—</w:t>
            </w: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jc w:val="right"/>
              <w:ind w:right="79"/>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8"/>
                <w:szCs w:val="8"/>
                <w:color w:val="auto"/>
              </w:rPr>
              <w:t>(16.5)</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8"/>
                <w:szCs w:val="8"/>
                <w:color w:val="auto"/>
              </w:rPr>
              <w:t>(16.5)</w:t>
            </w:r>
          </w:p>
        </w:tc>
      </w:tr>
      <w:tr>
        <w:trPr>
          <w:trHeight w:val="103"/>
        </w:trPr>
        <w:tc>
          <w:tcPr>
            <w:tcW w:w="2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Contributions from noncontrolling interests</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tcBorders>
              <w:right w:val="single" w:sz="8" w:color="CFF0FC"/>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w w:val="99"/>
              </w:rPr>
              <w:t>—</w:t>
            </w:r>
          </w:p>
        </w:tc>
        <w:tc>
          <w:tcPr>
            <w:tcW w:w="1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32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w w:val="99"/>
              </w:rPr>
              <w:t>—</w:t>
            </w:r>
          </w:p>
        </w:tc>
        <w:tc>
          <w:tcPr>
            <w:tcW w:w="180" w:type="dxa"/>
            <w:vAlign w:val="bottom"/>
            <w:tcBorders>
              <w:right w:val="single" w:sz="8" w:color="CFF0FC"/>
            </w:tcBorders>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jc w:val="right"/>
              <w:ind w:right="79"/>
              <w:spacing w:after="0"/>
              <w:rPr>
                <w:sz w:val="20"/>
                <w:szCs w:val="20"/>
                <w:color w:val="auto"/>
              </w:rPr>
            </w:pPr>
            <w:r>
              <w:rPr>
                <w:rFonts w:ascii="Arial" w:cs="Arial" w:eastAsia="Arial" w:hAnsi="Arial"/>
                <w:sz w:val="8"/>
                <w:szCs w:val="8"/>
                <w:color w:val="auto"/>
                <w:w w:val="99"/>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280.1</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8"/>
                <w:szCs w:val="8"/>
                <w:color w:val="auto"/>
              </w:rPr>
              <w:t>280.1</w:t>
            </w:r>
          </w:p>
        </w:tc>
      </w:tr>
      <w:tr>
        <w:trPr>
          <w:trHeight w:val="103"/>
        </w:trPr>
        <w:tc>
          <w:tcPr>
            <w:tcW w:w="2420" w:type="dxa"/>
            <w:vAlign w:val="bottom"/>
            <w:gridSpan w:val="2"/>
          </w:tcPr>
          <w:p>
            <w:pPr>
              <w:spacing w:after="0"/>
              <w:rPr>
                <w:sz w:val="20"/>
                <w:szCs w:val="20"/>
                <w:color w:val="auto"/>
              </w:rPr>
            </w:pPr>
            <w:r>
              <w:rPr>
                <w:rFonts w:ascii="Arial" w:cs="Arial" w:eastAsia="Arial" w:hAnsi="Arial"/>
                <w:sz w:val="8"/>
                <w:szCs w:val="8"/>
                <w:color w:val="auto"/>
              </w:rPr>
              <w:t>Other comprehensive income (loss)</w:t>
            </w:r>
          </w:p>
        </w:tc>
        <w:tc>
          <w:tcPr>
            <w:tcW w:w="26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8"/>
                <w:szCs w:val="8"/>
                <w:color w:val="auto"/>
                <w:w w:val="99"/>
              </w:rPr>
              <w:t>—</w:t>
            </w:r>
          </w:p>
        </w:tc>
        <w:tc>
          <w:tcPr>
            <w:tcW w:w="180" w:type="dxa"/>
            <w:vAlign w:val="bottom"/>
          </w:tcPr>
          <w:p>
            <w:pPr>
              <w:spacing w:after="0"/>
              <w:rPr>
                <w:sz w:val="8"/>
                <w:szCs w:val="8"/>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8"/>
                <w:szCs w:val="8"/>
                <w:color w:val="auto"/>
              </w:rPr>
              <w:t>91.3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8"/>
                <w:szCs w:val="8"/>
                <w:color w:val="auto"/>
              </w:rPr>
              <w:t>91.3</w:t>
            </w:r>
          </w:p>
        </w:tc>
      </w:tr>
      <w:tr>
        <w:trPr>
          <w:trHeight w:val="103"/>
        </w:trPr>
        <w:tc>
          <w:tcPr>
            <w:tcW w:w="2420" w:type="dxa"/>
            <w:vAlign w:val="bottom"/>
            <w:gridSpan w:val="2"/>
            <w:shd w:val="clear" w:color="auto" w:fill="CFF0FC"/>
          </w:tcPr>
          <w:p>
            <w:pPr>
              <w:spacing w:after="0"/>
              <w:rPr>
                <w:sz w:val="20"/>
                <w:szCs w:val="20"/>
                <w:color w:val="auto"/>
              </w:rPr>
            </w:pPr>
            <w:r>
              <w:rPr>
                <w:rFonts w:ascii="Arial" w:cs="Arial" w:eastAsia="Arial" w:hAnsi="Arial"/>
                <w:sz w:val="8"/>
                <w:szCs w:val="8"/>
                <w:color w:val="auto"/>
              </w:rPr>
              <w:t>Net income (loss)</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tcBorders>
              <w:right w:val="single" w:sz="8" w:color="CFF0FC"/>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rPr>
              <w:t>2.8</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39.2</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0.8</w:t>
            </w:r>
          </w:p>
        </w:tc>
        <w:tc>
          <w:tcPr>
            <w:tcW w:w="220" w:type="dxa"/>
            <w:vAlign w:val="bottom"/>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jc w:val="right"/>
              <w:ind w:right="79"/>
              <w:spacing w:after="0"/>
              <w:rPr>
                <w:sz w:val="20"/>
                <w:szCs w:val="20"/>
                <w:color w:val="auto"/>
              </w:rPr>
            </w:pPr>
            <w:r>
              <w:rPr>
                <w:rFonts w:ascii="Arial" w:cs="Arial" w:eastAsia="Arial" w:hAnsi="Arial"/>
                <w:sz w:val="8"/>
                <w:szCs w:val="8"/>
                <w:color w:val="auto"/>
                <w:w w:val="99"/>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13.2</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8"/>
                <w:szCs w:val="8"/>
                <w:color w:val="auto"/>
              </w:rPr>
              <w:t>56.0</w:t>
            </w:r>
          </w:p>
        </w:tc>
      </w:tr>
      <w:tr>
        <w:trPr>
          <w:trHeight w:val="103"/>
        </w:trPr>
        <w:tc>
          <w:tcPr>
            <w:tcW w:w="1820" w:type="dxa"/>
            <w:vAlign w:val="bottom"/>
          </w:tcPr>
          <w:p>
            <w:pPr>
              <w:spacing w:after="0"/>
              <w:rPr>
                <w:sz w:val="20"/>
                <w:szCs w:val="20"/>
                <w:color w:val="auto"/>
              </w:rPr>
            </w:pPr>
            <w:r>
              <w:rPr>
                <w:rFonts w:ascii="Arial" w:cs="Arial" w:eastAsia="Arial" w:hAnsi="Arial"/>
                <w:sz w:val="8"/>
                <w:szCs w:val="8"/>
                <w:color w:val="auto"/>
              </w:rPr>
              <w:t>Distributions</w:t>
            </w:r>
          </w:p>
        </w:tc>
        <w:tc>
          <w:tcPr>
            <w:tcW w:w="600" w:type="dxa"/>
            <w:vAlign w:val="bottom"/>
          </w:tcPr>
          <w:p>
            <w:pPr>
              <w:spacing w:after="0"/>
              <w:rPr>
                <w:sz w:val="8"/>
                <w:szCs w:val="8"/>
                <w:color w:val="auto"/>
              </w:rPr>
            </w:pPr>
          </w:p>
        </w:tc>
        <w:tc>
          <w:tcPr>
            <w:tcW w:w="26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8"/>
                <w:szCs w:val="8"/>
                <w:color w:val="auto"/>
              </w:rPr>
              <w:t>(2.8)</w:t>
            </w: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8"/>
                <w:szCs w:val="8"/>
                <w:color w:val="auto"/>
              </w:rPr>
              <w:t>(221.2)</w:t>
            </w: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8"/>
                <w:szCs w:val="8"/>
                <w:color w:val="auto"/>
              </w:rPr>
              <w:t>(4.5)</w:t>
            </w: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jc w:val="right"/>
              <w:ind w:right="79"/>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8"/>
                <w:szCs w:val="8"/>
                <w:color w:val="auto"/>
                <w:w w:val="99"/>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8"/>
                <w:szCs w:val="8"/>
                <w:color w:val="auto"/>
              </w:rPr>
              <w:t>(228.5)</w:t>
            </w:r>
          </w:p>
        </w:tc>
      </w:tr>
      <w:tr>
        <w:trPr>
          <w:trHeight w:val="20"/>
        </w:trPr>
        <w:tc>
          <w:tcPr>
            <w:tcW w:w="182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00" w:type="dxa"/>
            <w:vAlign w:val="bottom"/>
            <w:tcBorders>
              <w:right w:val="single" w:sz="8" w:color="CFF0FC"/>
            </w:tcBorders>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gridSpan w:val="2"/>
            <w:shd w:val="clear" w:color="auto" w:fill="000000"/>
          </w:tcPr>
          <w:p>
            <w:pPr>
              <w:spacing w:after="0" w:line="20" w:lineRule="exact"/>
              <w:rPr>
                <w:sz w:val="1"/>
                <w:szCs w:val="1"/>
                <w:color w:val="auto"/>
              </w:rPr>
            </w:pPr>
          </w:p>
        </w:tc>
      </w:tr>
      <w:tr>
        <w:trPr>
          <w:trHeight w:val="93"/>
        </w:trPr>
        <w:tc>
          <w:tcPr>
            <w:tcW w:w="18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8"/>
                <w:szCs w:val="8"/>
                <w:b w:val="1"/>
                <w:bCs w:val="1"/>
                <w:color w:val="auto"/>
              </w:rPr>
              <w:t>Balance, March 31, 2018</w:t>
            </w:r>
          </w:p>
        </w:tc>
        <w:tc>
          <w:tcPr>
            <w:tcW w:w="600" w:type="dxa"/>
            <w:vAlign w:val="bottom"/>
            <w:shd w:val="clear" w:color="auto" w:fill="CFF0FC"/>
          </w:tcPr>
          <w:p>
            <w:pPr>
              <w:spacing w:after="0"/>
              <w:rPr>
                <w:sz w:val="8"/>
                <w:szCs w:val="8"/>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rPr>
              <w:t>5,000</w:t>
            </w:r>
          </w:p>
        </w:tc>
        <w:tc>
          <w:tcPr>
            <w:tcW w:w="240" w:type="dxa"/>
            <w:vAlign w:val="bottom"/>
            <w:tcBorders>
              <w:right w:val="single" w:sz="8" w:color="CFF0FC"/>
            </w:tcBorders>
            <w:shd w:val="clear" w:color="auto" w:fill="CFF0FC"/>
          </w:tcPr>
          <w:p>
            <w:pPr>
              <w:spacing w:after="0"/>
              <w:rPr>
                <w:sz w:val="8"/>
                <w:szCs w:val="8"/>
                <w:color w:val="auto"/>
              </w:rPr>
            </w:pPr>
          </w:p>
        </w:tc>
        <w:tc>
          <w:tcPr>
            <w:tcW w:w="260" w:type="dxa"/>
            <w:vAlign w:val="bottom"/>
            <w:shd w:val="clear" w:color="auto" w:fill="CFF0FC"/>
          </w:tcPr>
          <w:p>
            <w:pPr>
              <w:jc w:val="right"/>
              <w:ind w:right="195"/>
              <w:spacing w:after="0"/>
              <w:rPr>
                <w:sz w:val="20"/>
                <w:szCs w:val="20"/>
                <w:color w:val="auto"/>
              </w:rPr>
            </w:pPr>
            <w:r>
              <w:rPr>
                <w:rFonts w:ascii="Arial" w:cs="Arial" w:eastAsia="Arial" w:hAnsi="Arial"/>
                <w:sz w:val="5"/>
                <w:szCs w:val="5"/>
                <w:color w:val="auto"/>
                <w:w w:val="70"/>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rPr>
              <w:t>120.6</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275,168</w:t>
            </w:r>
          </w:p>
        </w:tc>
        <w:tc>
          <w:tcPr>
            <w:tcW w:w="120" w:type="dxa"/>
            <w:vAlign w:val="bottom"/>
            <w:shd w:val="clear" w:color="auto" w:fill="CFF0FC"/>
          </w:tcPr>
          <w:p>
            <w:pPr>
              <w:spacing w:after="0"/>
              <w:rPr>
                <w:sz w:val="8"/>
                <w:szCs w:val="8"/>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6,377.1</w:t>
            </w:r>
          </w:p>
        </w:tc>
        <w:tc>
          <w:tcPr>
            <w:tcW w:w="120" w:type="dxa"/>
            <w:vAlign w:val="bottom"/>
            <w:shd w:val="clear" w:color="auto" w:fill="CFF0FC"/>
          </w:tcPr>
          <w:p>
            <w:pPr>
              <w:spacing w:after="0"/>
              <w:rPr>
                <w:sz w:val="8"/>
                <w:szCs w:val="8"/>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8"/>
                <w:szCs w:val="8"/>
                <w:color w:val="auto"/>
              </w:rPr>
              <w:t>5,629</w:t>
            </w:r>
          </w:p>
        </w:tc>
        <w:tc>
          <w:tcPr>
            <w:tcW w:w="100" w:type="dxa"/>
            <w:vAlign w:val="bottom"/>
            <w:shd w:val="clear" w:color="auto" w:fill="CFF0FC"/>
          </w:tcPr>
          <w:p>
            <w:pPr>
              <w:spacing w:after="0"/>
              <w:rPr>
                <w:sz w:val="8"/>
                <w:szCs w:val="8"/>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805.7</w:t>
            </w:r>
          </w:p>
        </w:tc>
        <w:tc>
          <w:tcPr>
            <w:tcW w:w="220" w:type="dxa"/>
            <w:vAlign w:val="bottom"/>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900" w:type="dxa"/>
            <w:vAlign w:val="bottom"/>
            <w:tcBorders>
              <w:right w:val="single" w:sz="8" w:color="CFF0FC"/>
            </w:tcBorders>
            <w:gridSpan w:val="2"/>
            <w:shd w:val="clear" w:color="auto" w:fill="CFF0FC"/>
          </w:tcPr>
          <w:p>
            <w:pPr>
              <w:jc w:val="right"/>
              <w:ind w:right="79"/>
              <w:spacing w:after="0"/>
              <w:rPr>
                <w:sz w:val="20"/>
                <w:szCs w:val="20"/>
                <w:color w:val="auto"/>
              </w:rPr>
            </w:pPr>
            <w:r>
              <w:rPr>
                <w:rFonts w:ascii="Arial" w:cs="Arial" w:eastAsia="Arial" w:hAnsi="Arial"/>
                <w:sz w:val="8"/>
                <w:szCs w:val="8"/>
                <w:color w:val="auto"/>
              </w:rPr>
              <w:t>45.3</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753.1</w:t>
            </w:r>
          </w:p>
        </w:tc>
        <w:tc>
          <w:tcPr>
            <w:tcW w:w="120" w:type="dxa"/>
            <w:vAlign w:val="bottom"/>
            <w:shd w:val="clear" w:color="auto" w:fill="CFF0FC"/>
          </w:tcPr>
          <w:p>
            <w:pPr>
              <w:spacing w:after="0"/>
              <w:rPr>
                <w:sz w:val="8"/>
                <w:szCs w:val="8"/>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7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8"/>
                <w:szCs w:val="8"/>
                <w:color w:val="auto"/>
              </w:rPr>
              <w:t>8,101.8</w:t>
            </w:r>
          </w:p>
        </w:tc>
      </w:tr>
      <w:tr>
        <w:trPr>
          <w:trHeight w:val="28"/>
        </w:trPr>
        <w:tc>
          <w:tcPr>
            <w:tcW w:w="1820" w:type="dxa"/>
            <w:vAlign w:val="bottom"/>
            <w:tcBorders>
              <w:right w:val="single" w:sz="8" w:color="CFF0FC"/>
            </w:tcBorders>
            <w:shd w:val="clear" w:color="auto" w:fill="CFF0F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tcBorders>
              <w:right w:val="single" w:sz="8" w:color="auto"/>
            </w:tcBorders>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CFF0FC"/>
            </w:tcBorders>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CFF0FC"/>
            </w:tcBorders>
            <w:shd w:val="clear" w:color="auto" w:fill="000000"/>
          </w:tcPr>
          <w:p>
            <w:pPr>
              <w:spacing w:after="0"/>
              <w:rPr>
                <w:sz w:val="2"/>
                <w:szCs w:val="2"/>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See notes to consolidated financial statements</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3"/>
          <w:szCs w:val="13"/>
          <w:b w:val="1"/>
          <w:bCs w:val="1"/>
          <w:color w:val="auto"/>
        </w:rPr>
        <w:t>TARGA RESOURCES PARTNERS LP</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58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96"/>
              </w:rPr>
              <w:t>Three Months Ended March 31,</w:t>
            </w:r>
          </w:p>
        </w:tc>
        <w:tc>
          <w:tcPr>
            <w:tcW w:w="9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940" w:type="dxa"/>
            <w:vAlign w:val="bottom"/>
            <w:tcBorders>
              <w:bottom w:val="single" w:sz="8" w:color="auto"/>
            </w:tcBorders>
          </w:tcPr>
          <w:p>
            <w:pPr>
              <w:jc w:val="right"/>
              <w:ind w:right="42"/>
              <w:spacing w:after="0" w:line="103" w:lineRule="exact"/>
              <w:rPr>
                <w:sz w:val="20"/>
                <w:szCs w:val="20"/>
                <w:color w:val="auto"/>
              </w:rPr>
            </w:pPr>
            <w:r>
              <w:rPr>
                <w:rFonts w:ascii="Arial" w:cs="Arial" w:eastAsia="Arial" w:hAnsi="Arial"/>
                <w:sz w:val="10"/>
                <w:szCs w:val="10"/>
                <w:b w:val="1"/>
                <w:bCs w:val="1"/>
                <w:color w:val="auto"/>
              </w:rPr>
              <w:t>2019</w:t>
            </w: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630"/>
              <w:spacing w:after="0" w:line="103"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gridSpan w:val="2"/>
          </w:tcPr>
          <w:p>
            <w:pPr>
              <w:ind w:left="400"/>
              <w:spacing w:after="0" w:line="97" w:lineRule="exact"/>
              <w:rPr>
                <w:sz w:val="20"/>
                <w:szCs w:val="20"/>
                <w:color w:val="auto"/>
              </w:rPr>
            </w:pPr>
            <w:r>
              <w:rPr>
                <w:rFonts w:ascii="Arial" w:cs="Arial" w:eastAsia="Arial" w:hAnsi="Arial"/>
                <w:sz w:val="10"/>
                <w:szCs w:val="10"/>
                <w:b w:val="1"/>
                <w:bCs w:val="1"/>
                <w:color w:val="auto"/>
                <w:w w:val="86"/>
              </w:rPr>
              <w:t>(Unaudited)</w:t>
            </w: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5880" w:type="dxa"/>
            <w:vAlign w:val="bottom"/>
            <w:vMerge w:val="restart"/>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2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gridSpan w:val="3"/>
          </w:tcPr>
          <w:p>
            <w:pPr>
              <w:ind w:left="400"/>
              <w:spacing w:after="0"/>
              <w:rPr>
                <w:sz w:val="20"/>
                <w:szCs w:val="20"/>
                <w:color w:val="auto"/>
              </w:rPr>
            </w:pPr>
            <w:r>
              <w:rPr>
                <w:rFonts w:ascii="Arial" w:cs="Arial" w:eastAsia="Arial" w:hAnsi="Arial"/>
                <w:sz w:val="10"/>
                <w:szCs w:val="10"/>
                <w:b w:val="1"/>
                <w:bCs w:val="1"/>
                <w:color w:val="auto"/>
              </w:rPr>
              <w:t>(In millions)</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588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Net income (loss)</w:t>
            </w:r>
          </w:p>
        </w:tc>
        <w:tc>
          <w:tcPr>
            <w:tcW w:w="3020" w:type="dxa"/>
            <w:vAlign w:val="bottom"/>
            <w:gridSpan w:val="2"/>
            <w:shd w:val="clear" w:color="auto" w:fill="CFF0FC"/>
          </w:tcPr>
          <w:p>
            <w:pPr>
              <w:jc w:val="right"/>
              <w:ind w:right="862"/>
              <w:spacing w:after="0" w:line="113"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FF0FC"/>
          </w:tcPr>
          <w:p>
            <w:pPr>
              <w:jc w:val="right"/>
              <w:ind w:right="260"/>
              <w:spacing w:after="0" w:line="113" w:lineRule="exact"/>
              <w:rPr>
                <w:sz w:val="20"/>
                <w:szCs w:val="20"/>
                <w:color w:val="auto"/>
              </w:rPr>
            </w:pPr>
            <w:r>
              <w:rPr>
                <w:rFonts w:ascii="Arial" w:cs="Arial" w:eastAsia="Arial" w:hAnsi="Arial"/>
                <w:sz w:val="10"/>
                <w:szCs w:val="10"/>
                <w:color w:val="auto"/>
              </w:rPr>
              <w:t>(19.0)</w:t>
            </w:r>
          </w:p>
        </w:tc>
        <w:tc>
          <w:tcPr>
            <w:tcW w:w="600" w:type="dxa"/>
            <w:vAlign w:val="bottom"/>
            <w:shd w:val="clear" w:color="auto" w:fill="CFF0FC"/>
          </w:tcPr>
          <w:p>
            <w:pPr>
              <w:jc w:val="right"/>
              <w:ind w:right="535"/>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56.0</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tcPr>
          <w:p>
            <w:pPr>
              <w:ind w:left="160"/>
              <w:spacing w:after="0" w:line="113" w:lineRule="exact"/>
              <w:rPr>
                <w:sz w:val="20"/>
                <w:szCs w:val="20"/>
                <w:color w:val="auto"/>
              </w:rPr>
            </w:pPr>
            <w:r>
              <w:rPr>
                <w:rFonts w:ascii="Arial" w:cs="Arial" w:eastAsia="Arial" w:hAnsi="Arial"/>
                <w:sz w:val="10"/>
                <w:szCs w:val="10"/>
                <w:color w:val="auto"/>
              </w:rPr>
              <w:t>Adjustments to reconcile net income (loss) to net cash provided by operating activities: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340"/>
              <w:spacing w:after="0" w:line="113" w:lineRule="exact"/>
              <w:rPr>
                <w:sz w:val="20"/>
                <w:szCs w:val="20"/>
                <w:color w:val="auto"/>
              </w:rPr>
            </w:pPr>
            <w:r>
              <w:rPr>
                <w:rFonts w:ascii="Arial" w:cs="Arial" w:eastAsia="Arial" w:hAnsi="Arial"/>
                <w:sz w:val="10"/>
                <w:szCs w:val="10"/>
                <w:color w:val="auto"/>
              </w:rPr>
              <w:t>Amortization in interest expense</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2.4</w:t>
            </w:r>
          </w:p>
        </w:tc>
        <w:tc>
          <w:tcPr>
            <w:tcW w:w="3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2.3</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tcPr>
          <w:p>
            <w:pPr>
              <w:ind w:left="340"/>
              <w:spacing w:after="0" w:line="113" w:lineRule="exact"/>
              <w:rPr>
                <w:sz w:val="20"/>
                <w:szCs w:val="20"/>
                <w:color w:val="auto"/>
              </w:rPr>
            </w:pPr>
            <w:r>
              <w:rPr>
                <w:rFonts w:ascii="Arial" w:cs="Arial" w:eastAsia="Arial" w:hAnsi="Arial"/>
                <w:sz w:val="10"/>
                <w:szCs w:val="10"/>
                <w:color w:val="auto"/>
              </w:rPr>
              <w:t>Depreciation and amortization expense</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237.4</w:t>
            </w: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198.1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340"/>
              <w:spacing w:after="0" w:line="113" w:lineRule="exact"/>
              <w:rPr>
                <w:sz w:val="20"/>
                <w:szCs w:val="20"/>
                <w:color w:val="auto"/>
              </w:rPr>
            </w:pPr>
            <w:r>
              <w:rPr>
                <w:rFonts w:ascii="Arial" w:cs="Arial" w:eastAsia="Arial" w:hAnsi="Arial"/>
                <w:sz w:val="10"/>
                <w:szCs w:val="10"/>
                <w:color w:val="auto"/>
              </w:rPr>
              <w:t>Accretion of asset retirement obligations</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1.0</w:t>
            </w:r>
          </w:p>
        </w:tc>
        <w:tc>
          <w:tcPr>
            <w:tcW w:w="3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0.9</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tcPr>
          <w:p>
            <w:pPr>
              <w:ind w:left="340"/>
              <w:spacing w:after="0" w:line="113" w:lineRule="exact"/>
              <w:rPr>
                <w:sz w:val="20"/>
                <w:szCs w:val="20"/>
                <w:color w:val="auto"/>
              </w:rPr>
            </w:pPr>
            <w:r>
              <w:rPr>
                <w:rFonts w:ascii="Arial" w:cs="Arial" w:eastAsia="Arial" w:hAnsi="Arial"/>
                <w:sz w:val="10"/>
                <w:szCs w:val="10"/>
                <w:color w:val="auto"/>
              </w:rPr>
              <w:t>Increase (decrease) in redemption value of mandatorily redeemable preferred interests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gridSpan w:val="2"/>
          </w:tcPr>
          <w:p>
            <w:pPr>
              <w:jc w:val="right"/>
              <w:ind w:right="30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10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(72.5)</w:t>
            </w: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340"/>
              <w:spacing w:after="0" w:line="113" w:lineRule="exact"/>
              <w:rPr>
                <w:sz w:val="20"/>
                <w:szCs w:val="20"/>
                <w:color w:val="auto"/>
              </w:rPr>
            </w:pPr>
            <w:r>
              <w:rPr>
                <w:rFonts w:ascii="Arial" w:cs="Arial" w:eastAsia="Arial" w:hAnsi="Arial"/>
                <w:sz w:val="10"/>
                <w:szCs w:val="10"/>
                <w:color w:val="auto"/>
              </w:rPr>
              <w:t>Equity (earnings) loss of unconsolidated affiliates</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60"/>
              <w:spacing w:after="0" w:line="113" w:lineRule="exact"/>
              <w:rPr>
                <w:sz w:val="20"/>
                <w:szCs w:val="20"/>
                <w:color w:val="auto"/>
              </w:rPr>
            </w:pPr>
            <w:r>
              <w:rPr>
                <w:rFonts w:ascii="Arial" w:cs="Arial" w:eastAsia="Arial" w:hAnsi="Arial"/>
                <w:sz w:val="10"/>
                <w:szCs w:val="10"/>
                <w:color w:val="auto"/>
              </w:rPr>
              <w:t>(2.8)</w:t>
            </w:r>
          </w:p>
        </w:tc>
        <w:tc>
          <w:tcPr>
            <w:tcW w:w="60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13"/>
        </w:trPr>
        <w:tc>
          <w:tcPr>
            <w:tcW w:w="5880" w:type="dxa"/>
            <w:vAlign w:val="bottom"/>
          </w:tcPr>
          <w:p>
            <w:pPr>
              <w:ind w:left="340"/>
              <w:spacing w:after="0" w:line="113" w:lineRule="exact"/>
              <w:rPr>
                <w:sz w:val="20"/>
                <w:szCs w:val="20"/>
                <w:color w:val="auto"/>
              </w:rPr>
            </w:pPr>
            <w:r>
              <w:rPr>
                <w:rFonts w:ascii="Arial" w:cs="Arial" w:eastAsia="Arial" w:hAnsi="Arial"/>
                <w:sz w:val="10"/>
                <w:szCs w:val="10"/>
                <w:color w:val="auto"/>
              </w:rPr>
              <w:t>Distributions of earnings received from unconsolidated affiliates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4.8</w:t>
            </w: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4.2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340"/>
              <w:spacing w:after="0" w:line="113" w:lineRule="exact"/>
              <w:rPr>
                <w:sz w:val="20"/>
                <w:szCs w:val="20"/>
                <w:color w:val="auto"/>
              </w:rPr>
            </w:pPr>
            <w:r>
              <w:rPr>
                <w:rFonts w:ascii="Arial" w:cs="Arial" w:eastAsia="Arial" w:hAnsi="Arial"/>
                <w:sz w:val="10"/>
                <w:szCs w:val="10"/>
                <w:color w:val="auto"/>
              </w:rPr>
              <w:t>Risk management activities</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7.2</w:t>
            </w:r>
          </w:p>
        </w:tc>
        <w:tc>
          <w:tcPr>
            <w:tcW w:w="3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10.9</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tcPr>
          <w:p>
            <w:pPr>
              <w:ind w:left="340"/>
              <w:spacing w:after="0" w:line="113" w:lineRule="exact"/>
              <w:rPr>
                <w:sz w:val="20"/>
                <w:szCs w:val="20"/>
                <w:color w:val="auto"/>
              </w:rPr>
            </w:pPr>
            <w:r>
              <w:rPr>
                <w:rFonts w:ascii="Arial" w:cs="Arial" w:eastAsia="Arial" w:hAnsi="Arial"/>
                <w:sz w:val="10"/>
                <w:szCs w:val="10"/>
                <w:color w:val="auto"/>
              </w:rPr>
              <w:t>(Gain) loss on sale or disposition of assets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3.2</w:t>
            </w: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340"/>
              <w:spacing w:after="0" w:line="113" w:lineRule="exact"/>
              <w:rPr>
                <w:sz w:val="20"/>
                <w:szCs w:val="20"/>
                <w:color w:val="auto"/>
              </w:rPr>
            </w:pPr>
            <w:r>
              <w:rPr>
                <w:rFonts w:ascii="Arial" w:cs="Arial" w:eastAsia="Arial" w:hAnsi="Arial"/>
                <w:sz w:val="10"/>
                <w:szCs w:val="10"/>
                <w:color w:val="auto"/>
              </w:rPr>
              <w:t>(Gain) loss from financing activities</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1.4</w:t>
            </w:r>
          </w:p>
        </w:tc>
        <w:tc>
          <w:tcPr>
            <w:tcW w:w="3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5880" w:type="dxa"/>
            <w:vAlign w:val="bottom"/>
          </w:tcPr>
          <w:p>
            <w:pPr>
              <w:ind w:left="340"/>
              <w:spacing w:after="0" w:line="113" w:lineRule="exact"/>
              <w:rPr>
                <w:sz w:val="20"/>
                <w:szCs w:val="20"/>
                <w:color w:val="auto"/>
              </w:rPr>
            </w:pPr>
            <w:r>
              <w:rPr>
                <w:rFonts w:ascii="Arial" w:cs="Arial" w:eastAsia="Arial" w:hAnsi="Arial"/>
                <w:sz w:val="10"/>
                <w:szCs w:val="10"/>
                <w:color w:val="auto"/>
              </w:rPr>
              <w:t>Change in contingent considerations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9.7</w:t>
            </w: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56.1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340"/>
              <w:spacing w:after="0" w:line="113" w:lineRule="exact"/>
              <w:rPr>
                <w:sz w:val="20"/>
                <w:szCs w:val="20"/>
                <w:color w:val="auto"/>
              </w:rPr>
            </w:pPr>
            <w:r>
              <w:rPr>
                <w:rFonts w:ascii="Arial" w:cs="Arial" w:eastAsia="Arial" w:hAnsi="Arial"/>
                <w:sz w:val="10"/>
                <w:szCs w:val="10"/>
                <w:color w:val="auto"/>
              </w:rPr>
              <w:t>Changes in operating assets and liabilities, net of business acquisitions:</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tcPr>
          <w:p>
            <w:pPr>
              <w:ind w:left="520"/>
              <w:spacing w:after="0" w:line="113" w:lineRule="exact"/>
              <w:rPr>
                <w:sz w:val="20"/>
                <w:szCs w:val="20"/>
                <w:color w:val="auto"/>
              </w:rPr>
            </w:pPr>
            <w:r>
              <w:rPr>
                <w:rFonts w:ascii="Arial" w:cs="Arial" w:eastAsia="Arial" w:hAnsi="Arial"/>
                <w:sz w:val="10"/>
                <w:szCs w:val="10"/>
                <w:color w:val="auto"/>
              </w:rPr>
              <w:t>Receivables and other assets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83.9</w:t>
            </w: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114.2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520"/>
              <w:spacing w:after="0" w:line="113" w:lineRule="exact"/>
              <w:rPr>
                <w:sz w:val="20"/>
                <w:szCs w:val="20"/>
                <w:color w:val="auto"/>
              </w:rPr>
            </w:pPr>
            <w:r>
              <w:rPr>
                <w:rFonts w:ascii="Arial" w:cs="Arial" w:eastAsia="Arial" w:hAnsi="Arial"/>
                <w:sz w:val="10"/>
                <w:szCs w:val="10"/>
                <w:color w:val="auto"/>
              </w:rPr>
              <w:t>Inventories</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60"/>
              <w:spacing w:after="0" w:line="113" w:lineRule="exact"/>
              <w:rPr>
                <w:sz w:val="20"/>
                <w:szCs w:val="20"/>
                <w:color w:val="auto"/>
              </w:rPr>
            </w:pPr>
            <w:r>
              <w:rPr>
                <w:rFonts w:ascii="Arial" w:cs="Arial" w:eastAsia="Arial" w:hAnsi="Arial"/>
                <w:sz w:val="10"/>
                <w:szCs w:val="10"/>
                <w:color w:val="auto"/>
              </w:rPr>
              <w:t>(60.6)</w:t>
            </w:r>
          </w:p>
        </w:tc>
        <w:tc>
          <w:tcPr>
            <w:tcW w:w="60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110.2</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tcPr>
          <w:p>
            <w:pPr>
              <w:ind w:left="520"/>
              <w:spacing w:after="0" w:line="113" w:lineRule="exact"/>
              <w:rPr>
                <w:sz w:val="20"/>
                <w:szCs w:val="20"/>
                <w:color w:val="auto"/>
              </w:rPr>
            </w:pPr>
            <w:r>
              <w:rPr>
                <w:rFonts w:ascii="Arial" w:cs="Arial" w:eastAsia="Arial" w:hAnsi="Arial"/>
                <w:sz w:val="10"/>
                <w:szCs w:val="10"/>
                <w:color w:val="auto"/>
              </w:rPr>
              <w:t>Accounts payable and other liabilities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39.0</w:t>
            </w: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(124.6)</w:t>
            </w:r>
          </w:p>
        </w:tc>
        <w:tc>
          <w:tcPr>
            <w:tcW w:w="0" w:type="dxa"/>
            <w:vAlign w:val="bottom"/>
          </w:tcPr>
          <w:p>
            <w:pPr>
              <w:spacing w:after="0"/>
              <w:rPr>
                <w:sz w:val="1"/>
                <w:szCs w:val="1"/>
                <w:color w:val="auto"/>
              </w:rPr>
            </w:pPr>
          </w:p>
        </w:tc>
      </w:tr>
      <w:tr>
        <w:trPr>
          <w:trHeight w:val="102"/>
        </w:trPr>
        <w:tc>
          <w:tcPr>
            <w:tcW w:w="5880" w:type="dxa"/>
            <w:vAlign w:val="bottom"/>
            <w:tcBorders>
              <w:top w:val="single" w:sz="8" w:color="CFF0FC"/>
            </w:tcBorders>
            <w:shd w:val="clear" w:color="auto" w:fill="CFF0FC"/>
          </w:tcPr>
          <w:p>
            <w:pPr>
              <w:ind w:left="340"/>
              <w:spacing w:after="0" w:line="103" w:lineRule="exact"/>
              <w:rPr>
                <w:sz w:val="20"/>
                <w:szCs w:val="20"/>
                <w:color w:val="auto"/>
              </w:rPr>
            </w:pPr>
            <w:r>
              <w:rPr>
                <w:rFonts w:ascii="Arial" w:cs="Arial" w:eastAsia="Arial" w:hAnsi="Arial"/>
                <w:sz w:val="10"/>
                <w:szCs w:val="10"/>
                <w:color w:val="auto"/>
              </w:rPr>
              <w:t>Net cash provided by operating activities</w:t>
            </w:r>
          </w:p>
        </w:tc>
        <w:tc>
          <w:tcPr>
            <w:tcW w:w="2080" w:type="dxa"/>
            <w:vAlign w:val="bottom"/>
            <w:tcBorders>
              <w:top w:val="single" w:sz="8" w:color="CFF0FC"/>
            </w:tcBorders>
            <w:shd w:val="clear" w:color="auto" w:fill="CFF0FC"/>
          </w:tcPr>
          <w:p>
            <w:pPr>
              <w:spacing w:after="0"/>
              <w:rPr>
                <w:sz w:val="8"/>
                <w:szCs w:val="8"/>
                <w:color w:val="auto"/>
              </w:rPr>
            </w:pPr>
          </w:p>
        </w:tc>
        <w:tc>
          <w:tcPr>
            <w:tcW w:w="940" w:type="dxa"/>
            <w:vAlign w:val="bottom"/>
            <w:tcBorders>
              <w:top w:val="single" w:sz="8" w:color="auto"/>
              <w:bottom w:val="single" w:sz="8" w:color="auto"/>
            </w:tcBorders>
            <w:shd w:val="clear" w:color="auto" w:fill="CFF0FC"/>
          </w:tcPr>
          <w:p>
            <w:pPr>
              <w:spacing w:after="0"/>
              <w:rPr>
                <w:sz w:val="8"/>
                <w:szCs w:val="8"/>
                <w:color w:val="auto"/>
              </w:rPr>
            </w:pPr>
          </w:p>
        </w:tc>
        <w:tc>
          <w:tcPr>
            <w:tcW w:w="60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307.6</w:t>
            </w:r>
          </w:p>
        </w:tc>
        <w:tc>
          <w:tcPr>
            <w:tcW w:w="300" w:type="dxa"/>
            <w:vAlign w:val="bottom"/>
            <w:tcBorders>
              <w:top w:val="single" w:sz="8" w:color="CFF0FC"/>
            </w:tcBorders>
            <w:shd w:val="clear" w:color="auto" w:fill="CFF0FC"/>
          </w:tcPr>
          <w:p>
            <w:pPr>
              <w:spacing w:after="0"/>
              <w:rPr>
                <w:sz w:val="8"/>
                <w:szCs w:val="8"/>
                <w:color w:val="auto"/>
              </w:rPr>
            </w:pPr>
          </w:p>
        </w:tc>
        <w:tc>
          <w:tcPr>
            <w:tcW w:w="600" w:type="dxa"/>
            <w:vAlign w:val="bottom"/>
            <w:tcBorders>
              <w:top w:val="single" w:sz="8" w:color="auto"/>
              <w:bottom w:val="single" w:sz="8" w:color="auto"/>
            </w:tcBorders>
            <w:shd w:val="clear" w:color="auto" w:fill="CFF0FC"/>
          </w:tcPr>
          <w:p>
            <w:pPr>
              <w:spacing w:after="0"/>
              <w:rPr>
                <w:sz w:val="8"/>
                <w:szCs w:val="8"/>
                <w:color w:val="auto"/>
              </w:rPr>
            </w:pPr>
          </w:p>
        </w:tc>
        <w:tc>
          <w:tcPr>
            <w:tcW w:w="96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354.2</w:t>
            </w: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80" w:type="dxa"/>
            <w:vAlign w:val="bottom"/>
          </w:tcPr>
          <w:p>
            <w:pPr>
              <w:spacing w:after="0" w:line="103" w:lineRule="exact"/>
              <w:rPr>
                <w:sz w:val="20"/>
                <w:szCs w:val="20"/>
                <w:color w:val="auto"/>
              </w:rPr>
            </w:pPr>
            <w:r>
              <w:rPr>
                <w:rFonts w:ascii="Arial" w:cs="Arial" w:eastAsia="Arial" w:hAnsi="Arial"/>
                <w:sz w:val="10"/>
                <w:szCs w:val="10"/>
                <w:b w:val="1"/>
                <w:bCs w:val="1"/>
                <w:color w:val="auto"/>
              </w:rPr>
              <w:t>Cash flows from investing activities</w:t>
            </w:r>
          </w:p>
        </w:tc>
        <w:tc>
          <w:tcPr>
            <w:tcW w:w="2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Outlays for property, plant and equipment</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60"/>
              <w:spacing w:after="0" w:line="113" w:lineRule="exact"/>
              <w:rPr>
                <w:sz w:val="20"/>
                <w:szCs w:val="20"/>
                <w:color w:val="auto"/>
              </w:rPr>
            </w:pPr>
            <w:r>
              <w:rPr>
                <w:rFonts w:ascii="Arial" w:cs="Arial" w:eastAsia="Arial" w:hAnsi="Arial"/>
                <w:sz w:val="10"/>
                <w:szCs w:val="10"/>
                <w:color w:val="auto"/>
              </w:rPr>
              <w:t>(942.9)</w:t>
            </w:r>
          </w:p>
        </w:tc>
        <w:tc>
          <w:tcPr>
            <w:tcW w:w="60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(595.9)</w:t>
            </w:r>
          </w:p>
        </w:tc>
        <w:tc>
          <w:tcPr>
            <w:tcW w:w="0" w:type="dxa"/>
            <w:vAlign w:val="bottom"/>
          </w:tcPr>
          <w:p>
            <w:pPr>
              <w:spacing w:after="0"/>
              <w:rPr>
                <w:sz w:val="1"/>
                <w:szCs w:val="1"/>
                <w:color w:val="auto"/>
              </w:rPr>
            </w:pPr>
          </w:p>
        </w:tc>
      </w:tr>
      <w:tr>
        <w:trPr>
          <w:trHeight w:val="113"/>
        </w:trPr>
        <w:tc>
          <w:tcPr>
            <w:tcW w:w="5880" w:type="dxa"/>
            <w:vAlign w:val="bottom"/>
          </w:tcPr>
          <w:p>
            <w:pPr>
              <w:ind w:left="160"/>
              <w:spacing w:after="0" w:line="113" w:lineRule="exact"/>
              <w:rPr>
                <w:sz w:val="20"/>
                <w:szCs w:val="20"/>
                <w:color w:val="auto"/>
              </w:rPr>
            </w:pPr>
            <w:r>
              <w:rPr>
                <w:rFonts w:ascii="Arial" w:cs="Arial" w:eastAsia="Arial" w:hAnsi="Arial"/>
                <w:sz w:val="10"/>
                <w:szCs w:val="10"/>
                <w:color w:val="auto"/>
              </w:rPr>
              <w:t>Proceeds from sale of assets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0.5</w:t>
            </w: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Investments in unconsolidated affiliates</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60"/>
              <w:spacing w:after="0" w:line="113" w:lineRule="exact"/>
              <w:rPr>
                <w:sz w:val="20"/>
                <w:szCs w:val="20"/>
                <w:color w:val="auto"/>
              </w:rPr>
            </w:pPr>
            <w:r>
              <w:rPr>
                <w:rFonts w:ascii="Arial" w:cs="Arial" w:eastAsia="Arial" w:hAnsi="Arial"/>
                <w:sz w:val="10"/>
                <w:szCs w:val="10"/>
                <w:color w:val="auto"/>
              </w:rPr>
              <w:t>(117.4)</w:t>
            </w:r>
          </w:p>
        </w:tc>
        <w:tc>
          <w:tcPr>
            <w:tcW w:w="60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(88.0)</w:t>
            </w:r>
          </w:p>
        </w:tc>
        <w:tc>
          <w:tcPr>
            <w:tcW w:w="0" w:type="dxa"/>
            <w:vAlign w:val="bottom"/>
          </w:tcPr>
          <w:p>
            <w:pPr>
              <w:spacing w:after="0"/>
              <w:rPr>
                <w:sz w:val="1"/>
                <w:szCs w:val="1"/>
                <w:color w:val="auto"/>
              </w:rPr>
            </w:pPr>
          </w:p>
        </w:tc>
      </w:tr>
      <w:tr>
        <w:trPr>
          <w:trHeight w:val="113"/>
        </w:trPr>
        <w:tc>
          <w:tcPr>
            <w:tcW w:w="5880" w:type="dxa"/>
            <w:vAlign w:val="bottom"/>
          </w:tcPr>
          <w:p>
            <w:pPr>
              <w:ind w:left="160"/>
              <w:spacing w:after="0" w:line="113" w:lineRule="exact"/>
              <w:rPr>
                <w:sz w:val="20"/>
                <w:szCs w:val="20"/>
                <w:color w:val="auto"/>
              </w:rPr>
            </w:pPr>
            <w:r>
              <w:rPr>
                <w:rFonts w:ascii="Arial" w:cs="Arial" w:eastAsia="Arial" w:hAnsi="Arial"/>
                <w:sz w:val="10"/>
                <w:szCs w:val="10"/>
                <w:color w:val="auto"/>
              </w:rPr>
              <w:t>Return of capital from unconsolidated affiliates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gridSpan w:val="2"/>
          </w:tcPr>
          <w:p>
            <w:pPr>
              <w:jc w:val="right"/>
              <w:ind w:right="30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1.5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Other, net</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60"/>
              <w:spacing w:after="0" w:line="113" w:lineRule="exact"/>
              <w:rPr>
                <w:sz w:val="20"/>
                <w:szCs w:val="20"/>
                <w:color w:val="auto"/>
              </w:rPr>
            </w:pPr>
            <w:r>
              <w:rPr>
                <w:rFonts w:ascii="Arial" w:cs="Arial" w:eastAsia="Arial" w:hAnsi="Arial"/>
                <w:sz w:val="10"/>
                <w:szCs w:val="10"/>
                <w:color w:val="auto"/>
              </w:rPr>
              <w:t>(9.0)</w:t>
            </w:r>
          </w:p>
        </w:tc>
        <w:tc>
          <w:tcPr>
            <w:tcW w:w="60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5.1</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340"/>
              <w:spacing w:after="0"/>
              <w:rPr>
                <w:sz w:val="20"/>
                <w:szCs w:val="20"/>
                <w:color w:val="auto"/>
              </w:rPr>
            </w:pPr>
            <w:r>
              <w:rPr>
                <w:rFonts w:ascii="Arial" w:cs="Arial" w:eastAsia="Arial" w:hAnsi="Arial"/>
                <w:sz w:val="10"/>
                <w:szCs w:val="10"/>
                <w:color w:val="auto"/>
              </w:rPr>
              <w:t>Net cash used in investing activities</w:t>
            </w:r>
          </w:p>
        </w:tc>
        <w:tc>
          <w:tcPr>
            <w:tcW w:w="2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8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gridSpan w:val="2"/>
          </w:tcPr>
          <w:p>
            <w:pPr>
              <w:jc w:val="right"/>
              <w:ind w:right="260"/>
              <w:spacing w:after="0" w:line="103" w:lineRule="exact"/>
              <w:rPr>
                <w:sz w:val="20"/>
                <w:szCs w:val="20"/>
                <w:color w:val="auto"/>
              </w:rPr>
            </w:pPr>
            <w:r>
              <w:rPr>
                <w:rFonts w:ascii="Arial" w:cs="Arial" w:eastAsia="Arial" w:hAnsi="Arial"/>
                <w:sz w:val="10"/>
                <w:szCs w:val="10"/>
                <w:color w:val="auto"/>
              </w:rPr>
              <w:t>(1,068.8)</w:t>
            </w:r>
          </w:p>
        </w:tc>
        <w:tc>
          <w:tcPr>
            <w:tcW w:w="600" w:type="dxa"/>
            <w:vAlign w:val="bottom"/>
          </w:tcPr>
          <w:p>
            <w:pPr>
              <w:spacing w:after="0"/>
              <w:rPr>
                <w:sz w:val="8"/>
                <w:szCs w:val="8"/>
                <w:color w:val="auto"/>
              </w:rPr>
            </w:pPr>
          </w:p>
        </w:tc>
        <w:tc>
          <w:tcPr>
            <w:tcW w:w="1080" w:type="dxa"/>
            <w:vAlign w:val="bottom"/>
            <w:gridSpan w:val="2"/>
          </w:tcPr>
          <w:p>
            <w:pPr>
              <w:jc w:val="right"/>
              <w:ind w:right="80"/>
              <w:spacing w:after="0" w:line="103" w:lineRule="exact"/>
              <w:rPr>
                <w:sz w:val="20"/>
                <w:szCs w:val="20"/>
                <w:color w:val="auto"/>
              </w:rPr>
            </w:pPr>
            <w:r>
              <w:rPr>
                <w:rFonts w:ascii="Arial" w:cs="Arial" w:eastAsia="Arial" w:hAnsi="Arial"/>
                <w:sz w:val="10"/>
                <w:szCs w:val="10"/>
                <w:color w:val="auto"/>
              </w:rPr>
              <w:t>(677.3)</w:t>
            </w:r>
          </w:p>
        </w:tc>
        <w:tc>
          <w:tcPr>
            <w:tcW w:w="0" w:type="dxa"/>
            <w:vAlign w:val="bottom"/>
          </w:tcPr>
          <w:p>
            <w:pPr>
              <w:spacing w:after="0"/>
              <w:rPr>
                <w:sz w:val="1"/>
                <w:szCs w:val="1"/>
                <w:color w:val="auto"/>
              </w:rPr>
            </w:pPr>
          </w:p>
        </w:tc>
      </w:tr>
      <w:tr>
        <w:trPr>
          <w:trHeight w:val="102"/>
        </w:trPr>
        <w:tc>
          <w:tcPr>
            <w:tcW w:w="588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Cash flows from financing activities</w:t>
            </w:r>
          </w:p>
        </w:tc>
        <w:tc>
          <w:tcPr>
            <w:tcW w:w="2080" w:type="dxa"/>
            <w:vAlign w:val="bottom"/>
            <w:tcBorders>
              <w:top w:val="single" w:sz="8" w:color="CFF0FC"/>
            </w:tcBorders>
            <w:shd w:val="clear" w:color="auto" w:fill="CFF0FC"/>
          </w:tcPr>
          <w:p>
            <w:pPr>
              <w:spacing w:after="0"/>
              <w:rPr>
                <w:sz w:val="8"/>
                <w:szCs w:val="8"/>
                <w:color w:val="auto"/>
              </w:rPr>
            </w:pPr>
          </w:p>
        </w:tc>
        <w:tc>
          <w:tcPr>
            <w:tcW w:w="94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CFF0FC"/>
            </w:tcBorders>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96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880" w:type="dxa"/>
            <w:vAlign w:val="bottom"/>
          </w:tcPr>
          <w:p>
            <w:pPr>
              <w:ind w:left="160"/>
              <w:spacing w:after="0" w:line="113" w:lineRule="exact"/>
              <w:rPr>
                <w:sz w:val="20"/>
                <w:szCs w:val="20"/>
                <w:color w:val="auto"/>
              </w:rPr>
            </w:pPr>
            <w:r>
              <w:rPr>
                <w:rFonts w:ascii="Arial" w:cs="Arial" w:eastAsia="Arial" w:hAnsi="Arial"/>
                <w:sz w:val="10"/>
                <w:szCs w:val="10"/>
                <w:color w:val="auto"/>
              </w:rPr>
              <w:t>Debt obligations: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300"/>
              <w:spacing w:after="0" w:line="113" w:lineRule="exact"/>
              <w:rPr>
                <w:sz w:val="20"/>
                <w:szCs w:val="20"/>
                <w:color w:val="auto"/>
              </w:rPr>
            </w:pPr>
            <w:r>
              <w:rPr>
                <w:rFonts w:ascii="Arial" w:cs="Arial" w:eastAsia="Arial" w:hAnsi="Arial"/>
                <w:sz w:val="10"/>
                <w:szCs w:val="10"/>
                <w:color w:val="auto"/>
              </w:rPr>
              <w:t>Proceeds from borrowings under credit facility</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750.0</w:t>
            </w:r>
          </w:p>
        </w:tc>
        <w:tc>
          <w:tcPr>
            <w:tcW w:w="3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600.0</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tcPr>
          <w:p>
            <w:pPr>
              <w:ind w:left="300"/>
              <w:spacing w:after="0" w:line="113" w:lineRule="exact"/>
              <w:rPr>
                <w:sz w:val="20"/>
                <w:szCs w:val="20"/>
                <w:color w:val="auto"/>
              </w:rPr>
            </w:pPr>
            <w:r>
              <w:rPr>
                <w:rFonts w:ascii="Arial" w:cs="Arial" w:eastAsia="Arial" w:hAnsi="Arial"/>
                <w:sz w:val="10"/>
                <w:szCs w:val="10"/>
                <w:color w:val="auto"/>
              </w:rPr>
              <w:t>Repayments of credit facility</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gridSpan w:val="2"/>
          </w:tcPr>
          <w:p>
            <w:pPr>
              <w:jc w:val="right"/>
              <w:ind w:right="260"/>
              <w:spacing w:after="0" w:line="113" w:lineRule="exact"/>
              <w:rPr>
                <w:sz w:val="20"/>
                <w:szCs w:val="20"/>
                <w:color w:val="auto"/>
              </w:rPr>
            </w:pPr>
            <w:r>
              <w:rPr>
                <w:rFonts w:ascii="Arial" w:cs="Arial" w:eastAsia="Arial" w:hAnsi="Arial"/>
                <w:sz w:val="10"/>
                <w:szCs w:val="10"/>
                <w:color w:val="auto"/>
              </w:rPr>
              <w:t>(780.0)</w:t>
            </w:r>
          </w:p>
        </w:tc>
        <w:tc>
          <w:tcPr>
            <w:tcW w:w="600" w:type="dxa"/>
            <w:vAlign w:val="bottom"/>
          </w:tcPr>
          <w:p>
            <w:pPr>
              <w:spacing w:after="0"/>
              <w:rPr>
                <w:sz w:val="9"/>
                <w:szCs w:val="9"/>
                <w:color w:val="auto"/>
              </w:rPr>
            </w:pPr>
          </w:p>
        </w:tc>
        <w:tc>
          <w:tcPr>
            <w:tcW w:w="10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(240.0)</w:t>
            </w: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300"/>
              <w:spacing w:after="0" w:line="113" w:lineRule="exact"/>
              <w:rPr>
                <w:sz w:val="20"/>
                <w:szCs w:val="20"/>
                <w:color w:val="auto"/>
              </w:rPr>
            </w:pPr>
            <w:r>
              <w:rPr>
                <w:rFonts w:ascii="Arial" w:cs="Arial" w:eastAsia="Arial" w:hAnsi="Arial"/>
                <w:sz w:val="10"/>
                <w:szCs w:val="10"/>
                <w:color w:val="auto"/>
              </w:rPr>
              <w:t>Proceeds from borrowings under accounts receivable securitization facility</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378.0</w:t>
            </w:r>
          </w:p>
        </w:tc>
        <w:tc>
          <w:tcPr>
            <w:tcW w:w="3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5880" w:type="dxa"/>
            <w:vAlign w:val="bottom"/>
          </w:tcPr>
          <w:p>
            <w:pPr>
              <w:ind w:left="300"/>
              <w:spacing w:after="0" w:line="113" w:lineRule="exact"/>
              <w:rPr>
                <w:sz w:val="20"/>
                <w:szCs w:val="20"/>
                <w:color w:val="auto"/>
              </w:rPr>
            </w:pPr>
            <w:r>
              <w:rPr>
                <w:rFonts w:ascii="Arial" w:cs="Arial" w:eastAsia="Arial" w:hAnsi="Arial"/>
                <w:sz w:val="10"/>
                <w:szCs w:val="10"/>
                <w:color w:val="auto"/>
              </w:rPr>
              <w:t>Repayments of accounts receivable securitization facility</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gridSpan w:val="2"/>
          </w:tcPr>
          <w:p>
            <w:pPr>
              <w:jc w:val="right"/>
              <w:ind w:right="260"/>
              <w:spacing w:after="0" w:line="113" w:lineRule="exact"/>
              <w:rPr>
                <w:sz w:val="20"/>
                <w:szCs w:val="20"/>
                <w:color w:val="auto"/>
              </w:rPr>
            </w:pPr>
            <w:r>
              <w:rPr>
                <w:rFonts w:ascii="Arial" w:cs="Arial" w:eastAsia="Arial" w:hAnsi="Arial"/>
                <w:sz w:val="10"/>
                <w:szCs w:val="10"/>
                <w:color w:val="auto"/>
              </w:rPr>
              <w:t>(350.4)</w:t>
            </w:r>
          </w:p>
        </w:tc>
        <w:tc>
          <w:tcPr>
            <w:tcW w:w="600" w:type="dxa"/>
            <w:vAlign w:val="bottom"/>
          </w:tcPr>
          <w:p>
            <w:pPr>
              <w:spacing w:after="0"/>
              <w:rPr>
                <w:sz w:val="9"/>
                <w:szCs w:val="9"/>
                <w:color w:val="auto"/>
              </w:rPr>
            </w:pPr>
          </w:p>
        </w:tc>
        <w:tc>
          <w:tcPr>
            <w:tcW w:w="10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(50.0)</w:t>
            </w: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300"/>
              <w:spacing w:after="0" w:line="113" w:lineRule="exact"/>
              <w:rPr>
                <w:sz w:val="20"/>
                <w:szCs w:val="20"/>
                <w:color w:val="auto"/>
              </w:rPr>
            </w:pPr>
            <w:r>
              <w:rPr>
                <w:rFonts w:ascii="Arial" w:cs="Arial" w:eastAsia="Arial" w:hAnsi="Arial"/>
                <w:sz w:val="10"/>
                <w:szCs w:val="10"/>
                <w:color w:val="auto"/>
              </w:rPr>
              <w:t>Proceeds from issuance of senior notes</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1,500.0</w:t>
            </w:r>
          </w:p>
        </w:tc>
        <w:tc>
          <w:tcPr>
            <w:tcW w:w="3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tcPr>
          <w:p>
            <w:pPr>
              <w:ind w:left="300"/>
              <w:spacing w:after="0" w:line="113" w:lineRule="exact"/>
              <w:rPr>
                <w:sz w:val="20"/>
                <w:szCs w:val="20"/>
                <w:color w:val="auto"/>
              </w:rPr>
            </w:pPr>
            <w:r>
              <w:rPr>
                <w:rFonts w:ascii="Arial" w:cs="Arial" w:eastAsia="Arial" w:hAnsi="Arial"/>
                <w:sz w:val="10"/>
                <w:szCs w:val="10"/>
                <w:color w:val="auto"/>
              </w:rPr>
              <w:t>Redemption of senior notes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gridSpan w:val="2"/>
          </w:tcPr>
          <w:p>
            <w:pPr>
              <w:jc w:val="right"/>
              <w:ind w:right="260"/>
              <w:spacing w:after="0" w:line="113" w:lineRule="exact"/>
              <w:rPr>
                <w:sz w:val="20"/>
                <w:szCs w:val="20"/>
                <w:color w:val="auto"/>
              </w:rPr>
            </w:pPr>
            <w:r>
              <w:rPr>
                <w:rFonts w:ascii="Arial" w:cs="Arial" w:eastAsia="Arial" w:hAnsi="Arial"/>
                <w:sz w:val="10"/>
                <w:szCs w:val="10"/>
                <w:color w:val="auto"/>
              </w:rPr>
              <w:t>(749.4)</w:t>
            </w:r>
          </w:p>
        </w:tc>
        <w:tc>
          <w:tcPr>
            <w:tcW w:w="600" w:type="dxa"/>
            <w:vAlign w:val="bottom"/>
          </w:tcPr>
          <w:p>
            <w:pPr>
              <w:spacing w:after="0"/>
              <w:rPr>
                <w:sz w:val="9"/>
                <w:szCs w:val="9"/>
                <w:color w:val="auto"/>
              </w:rPr>
            </w:pPr>
          </w:p>
        </w:tc>
        <w:tc>
          <w:tcPr>
            <w:tcW w:w="108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300"/>
              <w:spacing w:after="0" w:line="113" w:lineRule="exact"/>
              <w:rPr>
                <w:sz w:val="20"/>
                <w:szCs w:val="20"/>
                <w:color w:val="auto"/>
              </w:rPr>
            </w:pPr>
            <w:r>
              <w:rPr>
                <w:rFonts w:ascii="Arial" w:cs="Arial" w:eastAsia="Arial" w:hAnsi="Arial"/>
                <w:sz w:val="10"/>
                <w:szCs w:val="10"/>
                <w:color w:val="auto"/>
              </w:rPr>
              <w:t>Principal payments of finance leases</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60"/>
              <w:spacing w:after="0" w:line="113" w:lineRule="exact"/>
              <w:rPr>
                <w:sz w:val="20"/>
                <w:szCs w:val="20"/>
                <w:color w:val="auto"/>
              </w:rPr>
            </w:pPr>
            <w:r>
              <w:rPr>
                <w:rFonts w:ascii="Arial" w:cs="Arial" w:eastAsia="Arial" w:hAnsi="Arial"/>
                <w:sz w:val="10"/>
                <w:szCs w:val="10"/>
                <w:color w:val="auto"/>
              </w:rPr>
              <w:t>(2.7)</w:t>
            </w:r>
          </w:p>
        </w:tc>
        <w:tc>
          <w:tcPr>
            <w:tcW w:w="60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5880" w:type="dxa"/>
            <w:vAlign w:val="bottom"/>
          </w:tcPr>
          <w:p>
            <w:pPr>
              <w:ind w:left="160"/>
              <w:spacing w:after="0" w:line="113" w:lineRule="exact"/>
              <w:rPr>
                <w:sz w:val="20"/>
                <w:szCs w:val="20"/>
                <w:color w:val="auto"/>
              </w:rPr>
            </w:pPr>
            <w:r>
              <w:rPr>
                <w:rFonts w:ascii="Arial" w:cs="Arial" w:eastAsia="Arial" w:hAnsi="Arial"/>
                <w:sz w:val="10"/>
                <w:szCs w:val="10"/>
                <w:color w:val="auto"/>
              </w:rPr>
              <w:t>Costs incurred in connection with financing arrangements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gridSpan w:val="2"/>
          </w:tcPr>
          <w:p>
            <w:pPr>
              <w:jc w:val="right"/>
              <w:ind w:right="260"/>
              <w:spacing w:after="0" w:line="113" w:lineRule="exact"/>
              <w:rPr>
                <w:sz w:val="20"/>
                <w:szCs w:val="20"/>
                <w:color w:val="auto"/>
              </w:rPr>
            </w:pPr>
            <w:r>
              <w:rPr>
                <w:rFonts w:ascii="Arial" w:cs="Arial" w:eastAsia="Arial" w:hAnsi="Arial"/>
                <w:sz w:val="10"/>
                <w:szCs w:val="10"/>
                <w:color w:val="auto"/>
              </w:rPr>
              <w:t>(12.8)</w:t>
            </w:r>
          </w:p>
        </w:tc>
        <w:tc>
          <w:tcPr>
            <w:tcW w:w="600" w:type="dxa"/>
            <w:vAlign w:val="bottom"/>
          </w:tcPr>
          <w:p>
            <w:pPr>
              <w:spacing w:after="0"/>
              <w:rPr>
                <w:sz w:val="9"/>
                <w:szCs w:val="9"/>
                <w:color w:val="auto"/>
              </w:rPr>
            </w:pPr>
          </w:p>
        </w:tc>
        <w:tc>
          <w:tcPr>
            <w:tcW w:w="108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Contributions from general partner</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300"/>
              <w:spacing w:after="0" w:line="113" w:lineRule="exact"/>
              <w:rPr>
                <w:sz w:val="20"/>
                <w:szCs w:val="20"/>
                <w:color w:val="auto"/>
              </w:rPr>
            </w:pPr>
            <w:r>
              <w:rPr>
                <w:rFonts w:ascii="Arial" w:cs="Arial" w:eastAsia="Arial" w:hAnsi="Arial"/>
                <w:sz w:val="10"/>
                <w:szCs w:val="10"/>
                <w:color w:val="auto"/>
              </w:rPr>
              <w:t>—</w:t>
            </w:r>
          </w:p>
        </w:tc>
        <w:tc>
          <w:tcPr>
            <w:tcW w:w="60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1.2</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tcPr>
          <w:p>
            <w:pPr>
              <w:ind w:left="160"/>
              <w:spacing w:after="0" w:line="113" w:lineRule="exact"/>
              <w:rPr>
                <w:sz w:val="20"/>
                <w:szCs w:val="20"/>
                <w:color w:val="auto"/>
              </w:rPr>
            </w:pPr>
            <w:r>
              <w:rPr>
                <w:rFonts w:ascii="Arial" w:cs="Arial" w:eastAsia="Arial" w:hAnsi="Arial"/>
                <w:sz w:val="10"/>
                <w:szCs w:val="10"/>
                <w:color w:val="auto"/>
              </w:rPr>
              <w:t>Contributions from TRC</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gridSpan w:val="2"/>
          </w:tcPr>
          <w:p>
            <w:pPr>
              <w:jc w:val="right"/>
              <w:ind w:right="30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58.8</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Contributions from noncontrolling interests</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196.8</w:t>
            </w:r>
          </w:p>
        </w:tc>
        <w:tc>
          <w:tcPr>
            <w:tcW w:w="3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280.1</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80" w:type="dxa"/>
            <w:vAlign w:val="bottom"/>
          </w:tcPr>
          <w:p>
            <w:pPr>
              <w:ind w:left="160"/>
              <w:spacing w:after="0" w:line="113" w:lineRule="exact"/>
              <w:rPr>
                <w:sz w:val="20"/>
                <w:szCs w:val="20"/>
                <w:color w:val="auto"/>
              </w:rPr>
            </w:pPr>
            <w:r>
              <w:rPr>
                <w:rFonts w:ascii="Arial" w:cs="Arial" w:eastAsia="Arial" w:hAnsi="Arial"/>
                <w:sz w:val="10"/>
                <w:szCs w:val="10"/>
                <w:color w:val="auto"/>
              </w:rPr>
              <w:t>Distributions to noncontrolling interests</w:t>
            </w:r>
          </w:p>
        </w:tc>
        <w:tc>
          <w:tcPr>
            <w:tcW w:w="2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gridSpan w:val="2"/>
          </w:tcPr>
          <w:p>
            <w:pPr>
              <w:jc w:val="right"/>
              <w:ind w:right="260"/>
              <w:spacing w:after="0" w:line="113" w:lineRule="exact"/>
              <w:rPr>
                <w:sz w:val="20"/>
                <w:szCs w:val="20"/>
                <w:color w:val="auto"/>
              </w:rPr>
            </w:pPr>
            <w:r>
              <w:rPr>
                <w:rFonts w:ascii="Arial" w:cs="Arial" w:eastAsia="Arial" w:hAnsi="Arial"/>
                <w:sz w:val="10"/>
                <w:szCs w:val="10"/>
                <w:color w:val="auto"/>
              </w:rPr>
              <w:t>(18.6)</w:t>
            </w:r>
          </w:p>
        </w:tc>
        <w:tc>
          <w:tcPr>
            <w:tcW w:w="600" w:type="dxa"/>
            <w:vAlign w:val="bottom"/>
          </w:tcPr>
          <w:p>
            <w:pPr>
              <w:spacing w:after="0"/>
              <w:rPr>
                <w:sz w:val="9"/>
                <w:szCs w:val="9"/>
                <w:color w:val="auto"/>
              </w:rPr>
            </w:pPr>
          </w:p>
        </w:tc>
        <w:tc>
          <w:tcPr>
            <w:tcW w:w="10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(16.5)</w:t>
            </w:r>
          </w:p>
        </w:tc>
        <w:tc>
          <w:tcPr>
            <w:tcW w:w="0" w:type="dxa"/>
            <w:vAlign w:val="bottom"/>
          </w:tcPr>
          <w:p>
            <w:pPr>
              <w:spacing w:after="0"/>
              <w:rPr>
                <w:sz w:val="1"/>
                <w:szCs w:val="1"/>
                <w:color w:val="auto"/>
              </w:rPr>
            </w:pPr>
          </w:p>
        </w:tc>
      </w:tr>
      <w:tr>
        <w:trPr>
          <w:trHeight w:val="113"/>
        </w:trPr>
        <w:tc>
          <w:tcPr>
            <w:tcW w:w="58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Distributions to unitholders</w:t>
            </w:r>
          </w:p>
        </w:tc>
        <w:tc>
          <w:tcPr>
            <w:tcW w:w="20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60"/>
              <w:spacing w:after="0" w:line="113" w:lineRule="exact"/>
              <w:rPr>
                <w:sz w:val="20"/>
                <w:szCs w:val="20"/>
                <w:color w:val="auto"/>
              </w:rPr>
            </w:pPr>
            <w:r>
              <w:rPr>
                <w:rFonts w:ascii="Arial" w:cs="Arial" w:eastAsia="Arial" w:hAnsi="Arial"/>
                <w:sz w:val="10"/>
                <w:szCs w:val="10"/>
                <w:color w:val="auto"/>
              </w:rPr>
              <w:t>(241.3)</w:t>
            </w:r>
          </w:p>
        </w:tc>
        <w:tc>
          <w:tcPr>
            <w:tcW w:w="60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(228.5)</w:t>
            </w:r>
          </w:p>
        </w:tc>
        <w:tc>
          <w:tcPr>
            <w:tcW w:w="0" w:type="dxa"/>
            <w:vAlign w:val="bottom"/>
          </w:tcPr>
          <w:p>
            <w:pPr>
              <w:spacing w:after="0"/>
              <w:rPr>
                <w:sz w:val="1"/>
                <w:szCs w:val="1"/>
                <w:color w:val="auto"/>
              </w:rPr>
            </w:pPr>
          </w:p>
        </w:tc>
      </w:tr>
      <w:tr>
        <w:trPr>
          <w:trHeight w:val="102"/>
        </w:trPr>
        <w:tc>
          <w:tcPr>
            <w:tcW w:w="5880" w:type="dxa"/>
            <w:vAlign w:val="bottom"/>
            <w:tcBorders>
              <w:bottom w:val="single" w:sz="8" w:color="CFF0FC"/>
            </w:tcBorders>
          </w:tcPr>
          <w:p>
            <w:pPr>
              <w:ind w:left="340"/>
              <w:spacing w:after="0" w:line="103" w:lineRule="exact"/>
              <w:rPr>
                <w:sz w:val="20"/>
                <w:szCs w:val="20"/>
                <w:color w:val="auto"/>
              </w:rPr>
            </w:pPr>
            <w:r>
              <w:rPr>
                <w:rFonts w:ascii="Arial" w:cs="Arial" w:eastAsia="Arial" w:hAnsi="Arial"/>
                <w:sz w:val="10"/>
                <w:szCs w:val="10"/>
                <w:color w:val="auto"/>
              </w:rPr>
              <w:t>Net cash provided by financing activities</w:t>
            </w:r>
          </w:p>
        </w:tc>
        <w:tc>
          <w:tcPr>
            <w:tcW w:w="2080" w:type="dxa"/>
            <w:vAlign w:val="bottom"/>
            <w:tcBorders>
              <w:bottom w:val="single" w:sz="8" w:color="CFF0FC"/>
            </w:tcBorders>
          </w:tcPr>
          <w:p>
            <w:pPr>
              <w:spacing w:after="0"/>
              <w:rPr>
                <w:sz w:val="8"/>
                <w:szCs w:val="8"/>
                <w:color w:val="auto"/>
              </w:rPr>
            </w:pPr>
          </w:p>
        </w:tc>
        <w:tc>
          <w:tcPr>
            <w:tcW w:w="94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669.6</w:t>
            </w:r>
          </w:p>
        </w:tc>
        <w:tc>
          <w:tcPr>
            <w:tcW w:w="300" w:type="dxa"/>
            <w:vAlign w:val="bottom"/>
            <w:tcBorders>
              <w:bottom w:val="single" w:sz="8" w:color="CFF0FC"/>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405.1</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80" w:type="dxa"/>
            <w:vAlign w:val="bottom"/>
            <w:shd w:val="clear" w:color="auto" w:fill="CFF0FC"/>
          </w:tcPr>
          <w:p>
            <w:pPr>
              <w:spacing w:after="0" w:line="103" w:lineRule="exact"/>
              <w:rPr>
                <w:sz w:val="20"/>
                <w:szCs w:val="20"/>
                <w:color w:val="auto"/>
              </w:rPr>
            </w:pPr>
            <w:r>
              <w:rPr>
                <w:rFonts w:ascii="Arial" w:cs="Arial" w:eastAsia="Arial" w:hAnsi="Arial"/>
                <w:sz w:val="10"/>
                <w:szCs w:val="10"/>
                <w:color w:val="auto"/>
              </w:rPr>
              <w:t>Net change in cash and cash equivalents</w:t>
            </w:r>
          </w:p>
        </w:tc>
        <w:tc>
          <w:tcPr>
            <w:tcW w:w="20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(91.6)</w:t>
            </w:r>
          </w:p>
        </w:tc>
        <w:tc>
          <w:tcPr>
            <w:tcW w:w="3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82.0</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880" w:type="dxa"/>
            <w:vAlign w:val="bottom"/>
            <w:tcBorders>
              <w:bottom w:val="single" w:sz="8" w:color="CFF0FC"/>
            </w:tcBorders>
          </w:tcPr>
          <w:p>
            <w:pPr>
              <w:spacing w:after="0" w:line="113" w:lineRule="exact"/>
              <w:rPr>
                <w:sz w:val="20"/>
                <w:szCs w:val="20"/>
                <w:color w:val="auto"/>
              </w:rPr>
            </w:pPr>
            <w:r>
              <w:rPr>
                <w:rFonts w:ascii="Arial" w:cs="Arial" w:eastAsia="Arial" w:hAnsi="Arial"/>
                <w:sz w:val="10"/>
                <w:szCs w:val="10"/>
                <w:color w:val="auto"/>
              </w:rPr>
              <w:t>Cash and cash equivalents, beginning of period</w:t>
            </w:r>
          </w:p>
        </w:tc>
        <w:tc>
          <w:tcPr>
            <w:tcW w:w="208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203.3</w:t>
            </w:r>
          </w:p>
        </w:tc>
        <w:tc>
          <w:tcPr>
            <w:tcW w:w="300" w:type="dxa"/>
            <w:vAlign w:val="bottom"/>
            <w:tcBorders>
              <w:bottom w:val="single" w:sz="8" w:color="CFF0FC"/>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124.7</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880" w:type="dxa"/>
            <w:vAlign w:val="bottom"/>
            <w:tcBorders>
              <w:bottom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Cash and cash equivalents, end of period</w:t>
            </w:r>
          </w:p>
        </w:tc>
        <w:tc>
          <w:tcPr>
            <w:tcW w:w="2080" w:type="dxa"/>
            <w:vAlign w:val="bottom"/>
            <w:tcBorders>
              <w:bottom w:val="single" w:sz="8" w:color="CFF0FC"/>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jc w:val="right"/>
              <w:ind w:right="862"/>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111.7</w:t>
            </w:r>
          </w:p>
        </w:tc>
        <w:tc>
          <w:tcPr>
            <w:tcW w:w="300" w:type="dxa"/>
            <w:vAlign w:val="bottom"/>
            <w:tcBorders>
              <w:bottom w:val="single" w:sz="8" w:color="CFF0FC"/>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ind w:right="535"/>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206.7</w:t>
            </w:r>
          </w:p>
        </w:tc>
        <w:tc>
          <w:tcPr>
            <w:tcW w:w="1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See notes to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TARGA RESOURCES PARTNERS LP</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Except as noted within the context of each footnote disclosure, the dollar amounts presented in the tabular data within these footnote disclosures are stated in millions of dollars.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 Organization and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Organization</w:t>
      </w:r>
    </w:p>
    <w:p>
      <w:pPr>
        <w:spacing w:after="0" w:line="152" w:lineRule="exact"/>
        <w:rPr>
          <w:sz w:val="20"/>
          <w:szCs w:val="20"/>
          <w:color w:val="auto"/>
        </w:rPr>
      </w:pPr>
    </w:p>
    <w:p>
      <w:pPr>
        <w:spacing w:after="0" w:line="344" w:lineRule="auto"/>
        <w:rPr>
          <w:sz w:val="20"/>
          <w:szCs w:val="20"/>
          <w:color w:val="auto"/>
        </w:rPr>
      </w:pPr>
      <w:r>
        <w:rPr>
          <w:rFonts w:ascii="Arial" w:cs="Arial" w:eastAsia="Arial" w:hAnsi="Arial"/>
          <w:sz w:val="11"/>
          <w:szCs w:val="11"/>
          <w:color w:val="auto"/>
        </w:rPr>
        <w:t>Targa Resources Partners LP is a Delaware limited partnership formed in October 2006 by our parent, Targa Resources Corp. (“Targa” or “TRC” or the “Company” or “Parent”). In this Quarterly Report, unless the context requires otherwise, references to “we,” “us,” “our,” “TRP,” or the “Partnership” are intended to mean the business and operations of Targa Resources Partners LP and its consolidated subsidiaries.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Our common units are wholly owned by TRC and no longer publicly traded as a result of TRC’s acquisition of our outstanding common units that it and its subsidiaries did not already own in 2016.</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The 5,000,000 9.00% Series A Fixed-to-Floating Rate Cumulative Redeemable Perpetual Preferred Units (the “Preferred Units”) that were issued in October 2015 remain outstanding as limited partner interests in us and continue to trade on the NYSE under the symbol “NGLS PRA.”</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We are primarily engaged in the business of:</w:t>
      </w:r>
    </w:p>
    <w:p>
      <w:pPr>
        <w:spacing w:after="0" w:line="152"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3"/>
          <w:szCs w:val="13"/>
          <w:color w:val="auto"/>
        </w:rPr>
      </w:pPr>
      <w:r>
        <w:rPr>
          <w:rFonts w:ascii="Arial" w:cs="Arial" w:eastAsia="Arial" w:hAnsi="Arial"/>
          <w:sz w:val="13"/>
          <w:szCs w:val="13"/>
          <w:color w:val="auto"/>
        </w:rPr>
        <w:t>gathering, compressing, treating, processing, transporting and selling natural gas;</w:t>
      </w:r>
    </w:p>
    <w:p>
      <w:pPr>
        <w:spacing w:after="0" w:line="8" w:lineRule="exact"/>
        <w:rPr>
          <w:rFonts w:ascii="Arial" w:cs="Arial" w:eastAsia="Arial" w:hAnsi="Arial"/>
          <w:sz w:val="13"/>
          <w:szCs w:val="13"/>
          <w:color w:val="auto"/>
        </w:rPr>
      </w:pPr>
    </w:p>
    <w:p>
      <w:pPr>
        <w:ind w:left="740" w:hanging="368"/>
        <w:spacing w:after="0"/>
        <w:tabs>
          <w:tab w:leader="none" w:pos="7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transporting, storing, fractionating, treating and selling NGLs and NGL products, including services to LPG exporters; and</w:t>
      </w:r>
    </w:p>
    <w:p>
      <w:pPr>
        <w:spacing w:after="0" w:line="1" w:lineRule="exact"/>
        <w:rPr>
          <w:rFonts w:ascii="Arial" w:cs="Arial" w:eastAsia="Arial" w:hAnsi="Arial"/>
          <w:sz w:val="13"/>
          <w:szCs w:val="13"/>
          <w:color w:val="auto"/>
        </w:rPr>
      </w:pPr>
    </w:p>
    <w:p>
      <w:pPr>
        <w:ind w:left="740" w:hanging="368"/>
        <w:spacing w:after="0"/>
        <w:tabs>
          <w:tab w:leader="none" w:pos="740" w:val="left"/>
        </w:tabs>
        <w:numPr>
          <w:ilvl w:val="0"/>
          <w:numId w:val="4"/>
        </w:numPr>
        <w:rPr>
          <w:rFonts w:ascii="Arial" w:cs="Arial" w:eastAsia="Arial" w:hAnsi="Arial"/>
          <w:sz w:val="13"/>
          <w:szCs w:val="13"/>
          <w:color w:val="auto"/>
        </w:rPr>
      </w:pPr>
      <w:r>
        <w:rPr>
          <w:rFonts w:ascii="Arial" w:cs="Arial" w:eastAsia="Arial" w:hAnsi="Arial"/>
          <w:sz w:val="13"/>
          <w:szCs w:val="13"/>
          <w:color w:val="auto"/>
        </w:rPr>
        <w:t>gathering, storing, terminaling and selling crude oil.</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See Note 19 – Segment Information for certain financial information regarding our business segments.</w:t>
      </w:r>
    </w:p>
    <w:p>
      <w:pPr>
        <w:spacing w:after="0" w:line="152"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The employees supporting our operations are employed by Targa. Our consolidated financial statements include the direct costs of Targa employees deployed to our operating segments, as well as an allocation of costs associated with our usage of Targa’s centralized general and administrative services.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Basis of Presentation</w:t>
      </w:r>
    </w:p>
    <w:p>
      <w:pPr>
        <w:spacing w:after="0" w:line="80" w:lineRule="exact"/>
        <w:rPr>
          <w:sz w:val="20"/>
          <w:szCs w:val="20"/>
          <w:color w:val="auto"/>
        </w:rPr>
      </w:pPr>
    </w:p>
    <w:p>
      <w:pPr>
        <w:jc w:val="both"/>
        <w:spacing w:after="0" w:line="305" w:lineRule="auto"/>
        <w:rPr>
          <w:sz w:val="20"/>
          <w:szCs w:val="20"/>
          <w:color w:val="auto"/>
        </w:rPr>
      </w:pPr>
      <w:r>
        <w:rPr>
          <w:rFonts w:ascii="Arial" w:cs="Arial" w:eastAsia="Arial" w:hAnsi="Arial"/>
          <w:sz w:val="11"/>
          <w:szCs w:val="11"/>
          <w:color w:val="auto"/>
        </w:rPr>
        <w:t>The accompanying unaudited consolidated financial statements have been prepared in accordance with the instructions to Form 10-Q and do not include all information and disclosures required by GAAP. Therefore, this information should be read in conjunction with our consolidated financial statements and notes contained in our Annual Report. The information furnished herein reflects all adjustments that are, in the opinion of management, necessary for a fair statement of the results of the interim periods reported. All significant intercompany balances and transactions have been eliminated in consolidation. Certain amounts in prior periods may have been reclassified to conform to the current year presentation. Operating results for the three months ended March 31, 2019, are not necessarily indicative of the results that may be expected for the year ending December 31, 2019.</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Note 3 — Significant Accounting Policies</w:t>
      </w:r>
    </w:p>
    <w:p>
      <w:pPr>
        <w:spacing w:after="0" w:line="174"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The accounting policies that we follow are set forth in Note 3 – Significant Accounting Policies of the Notes to Consolidated Financial Statements in our Annual Report. Other than the updates noted below, there were no significant updates or revisions to our accounting policies during the three months ended March 31, 2019.</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Recently adopted accounting pronouncements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Leases</w:t>
      </w:r>
    </w:p>
    <w:p>
      <w:pPr>
        <w:spacing w:after="0" w:line="152" w:lineRule="exact"/>
        <w:rPr>
          <w:sz w:val="20"/>
          <w:szCs w:val="20"/>
          <w:color w:val="auto"/>
        </w:rPr>
      </w:pPr>
    </w:p>
    <w:p>
      <w:pPr>
        <w:jc w:val="both"/>
        <w:spacing w:after="0" w:line="305" w:lineRule="auto"/>
        <w:rPr>
          <w:sz w:val="20"/>
          <w:szCs w:val="20"/>
          <w:color w:val="auto"/>
        </w:rPr>
      </w:pPr>
      <w:r>
        <w:rPr>
          <w:rFonts w:ascii="Arial" w:cs="Arial" w:eastAsia="Arial" w:hAnsi="Arial"/>
          <w:sz w:val="11"/>
          <w:szCs w:val="11"/>
          <w:color w:val="auto"/>
        </w:rPr>
        <w:t xml:space="preserve">In February 2016, the Financial Accounting Standards Board (“FASB”) issued Accounting Standards Update (“ASU”) 2016-02, </w:t>
      </w:r>
      <w:r>
        <w:rPr>
          <w:rFonts w:ascii="Arial" w:cs="Arial" w:eastAsia="Arial" w:hAnsi="Arial"/>
          <w:sz w:val="11"/>
          <w:szCs w:val="11"/>
          <w:i w:val="1"/>
          <w:iCs w:val="1"/>
          <w:color w:val="auto"/>
        </w:rPr>
        <w:t>Leases</w:t>
      </w:r>
      <w:r>
        <w:rPr>
          <w:rFonts w:ascii="Arial" w:cs="Arial" w:eastAsia="Arial" w:hAnsi="Arial"/>
          <w:sz w:val="11"/>
          <w:szCs w:val="11"/>
          <w:color w:val="auto"/>
        </w:rPr>
        <w:t xml:space="preserve"> (Topic 842). The amendments in this update supersede the leases guidance in Topic 840. We adopted Topic 842 on January 1, 2019 by applying the optional transition method in ASU-2018-11, which permits an entity to initially apply the new leases standard at the adoption date and recognize a cumulative-effect adjustment to the opening balance of retained earnings in the period of adoption. The adoption of Topic 842 did not result in a cumulative effect adjustment to retained earnings on January 1, 2019. As part of the adoption of Topic 842, we recognized a net right-of-use asset of $64.2 million (net of $0.4 million of lease incentives/deferred rent) and lease liability of $64.6 million. Other practical expedients we elected include:</w:t>
      </w:r>
    </w:p>
    <w:p>
      <w:pPr>
        <w:spacing w:after="0" w:line="110"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package for transition relief, which among other things, allows us to carry forward the historical lease classification;</w:t>
      </w:r>
    </w:p>
    <w:p>
      <w:pPr>
        <w:spacing w:after="0" w:line="8" w:lineRule="exact"/>
        <w:rPr>
          <w:rFonts w:ascii="Arial" w:cs="Arial" w:eastAsia="Arial" w:hAnsi="Arial"/>
          <w:sz w:val="13"/>
          <w:szCs w:val="13"/>
          <w:color w:val="auto"/>
        </w:rPr>
      </w:pPr>
    </w:p>
    <w:p>
      <w:pPr>
        <w:ind w:left="740" w:right="20" w:hanging="368"/>
        <w:spacing w:after="0" w:line="241" w:lineRule="auto"/>
        <w:tabs>
          <w:tab w:leader="none" w:pos="7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land easements transition, which allows us to carry forward our historical accounting treatment for land easements prior to the effective date of the new leases standard and evaluate under Topic 842 only new or modified land easements on or after January 1, 2019;</w:t>
      </w:r>
    </w:p>
    <w:p>
      <w:pPr>
        <w:ind w:left="740" w:hanging="368"/>
        <w:spacing w:after="0"/>
        <w:tabs>
          <w:tab w:leader="none" w:pos="7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short-term lease election, which allows us to elect by all asset classes not to record on the balance sheet a lease whose initial term is twelve months or less;</w:t>
      </w:r>
    </w:p>
    <w:p>
      <w:pPr>
        <w:spacing w:after="0" w:line="1" w:lineRule="exact"/>
        <w:rPr>
          <w:rFonts w:ascii="Arial" w:cs="Arial" w:eastAsia="Arial" w:hAnsi="Arial"/>
          <w:sz w:val="13"/>
          <w:szCs w:val="13"/>
          <w:color w:val="auto"/>
        </w:rPr>
      </w:pPr>
    </w:p>
    <w:p>
      <w:pPr>
        <w:ind w:left="740" w:hanging="368"/>
        <w:spacing w:after="0"/>
        <w:tabs>
          <w:tab w:leader="none" w:pos="7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election to not separate non-lease components from lease components for all the asset classes in our current lease portfolio, where Targa is the lessee; and</w:t>
      </w:r>
    </w:p>
    <w:p>
      <w:pPr>
        <w:spacing w:after="0" w:line="1" w:lineRule="exact"/>
        <w:rPr>
          <w:rFonts w:ascii="Arial" w:cs="Arial" w:eastAsia="Arial" w:hAnsi="Arial"/>
          <w:sz w:val="13"/>
          <w:szCs w:val="13"/>
          <w:color w:val="auto"/>
        </w:rPr>
      </w:pPr>
    </w:p>
    <w:p>
      <w:pPr>
        <w:ind w:left="740" w:right="20" w:hanging="368"/>
        <w:spacing w:after="0" w:line="243" w:lineRule="auto"/>
        <w:tabs>
          <w:tab w:leader="none" w:pos="7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election to not separate non-lease components from lease components for gathering, processing and storage assets, where Targa is the lessor. Based on our election, we determined the non-lease component in certain of these arrangements is the predominant component, and therefore, account for the arrangements under ASC 606.</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We recognize the following for all leases (with the exception of short-term leases) at the commencement date:</w:t>
      </w:r>
    </w:p>
    <w:p>
      <w:pPr>
        <w:spacing w:after="0" w:line="152"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lease liability, which is a lessee’s obligation to make lease payments arising from a lease.</w:t>
      </w:r>
    </w:p>
    <w:p>
      <w:pPr>
        <w:spacing w:after="0" w:line="8" w:lineRule="exact"/>
        <w:rPr>
          <w:rFonts w:ascii="Arial" w:cs="Arial" w:eastAsia="Arial" w:hAnsi="Arial"/>
          <w:sz w:val="13"/>
          <w:szCs w:val="13"/>
          <w:color w:val="auto"/>
        </w:rPr>
      </w:pPr>
    </w:p>
    <w:p>
      <w:pPr>
        <w:ind w:left="740" w:hanging="368"/>
        <w:spacing w:after="0"/>
        <w:tabs>
          <w:tab w:leader="none" w:pos="7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right-of-use asset, which is an asset that represents the lessee’s right to use, or control the use of, a specified asset for the lease term.</w:t>
      </w:r>
    </w:p>
    <w:p>
      <w:pPr>
        <w:spacing w:after="0" w:line="97" w:lineRule="exact"/>
        <w:rPr>
          <w:sz w:val="20"/>
          <w:szCs w:val="20"/>
          <w:color w:val="auto"/>
        </w:rPr>
      </w:pPr>
    </w:p>
    <w:p>
      <w:pPr>
        <w:jc w:val="both"/>
        <w:ind w:right="20"/>
        <w:spacing w:after="0" w:line="305" w:lineRule="auto"/>
        <w:rPr>
          <w:sz w:val="20"/>
          <w:szCs w:val="20"/>
          <w:color w:val="auto"/>
        </w:rPr>
      </w:pPr>
      <w:r>
        <w:rPr>
          <w:rFonts w:ascii="Arial" w:cs="Arial" w:eastAsia="Arial" w:hAnsi="Arial"/>
          <w:sz w:val="11"/>
          <w:szCs w:val="11"/>
          <w:color w:val="auto"/>
        </w:rPr>
        <w:t>We determine if an arrangement is or contains a lease at inception. Leases with an initial term of twelve months or less are considered short-term leases, which are excluded from the balance sheet. Right-of-use assets and lease liabilities are recognized at the commencement date based on the present value of future lease payments over the lease term. The right-of-use asset also includes any lease prepayments and excludes lease incentives. As most of the Company’s leases do not provide an implicit interest rate, we use our incremental borrowing rate as the discount rate to compute the present value of our lease liability. The discount rate applied is determined based on information available on the date of adoption for all leases existing as of that date, and on the date of lease commencement for all subsequent leases.</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lease arrangements may include variable lease payments based on an index or market rate or may be based on performance. For variable lease payments based on an index or market rate, we estimate and apply a rate based on information available at the commencement date. Variable lease payments based on performance are excluded from the calculation of the right-of-use asset and lease liability, and are recognized in our Consolidated Statements of Operations when the contingency underlying such variable lease payments is resolved. Our lease terms may include options to extend or terminate the lease. Such options are included in the measurement of our right-of-use asset and liability, provided we determine that we are reasonably certain to exercise the option.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See Note 11 – Leases for additional details.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381" w:right="19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i w:val="1"/>
          <w:iCs w:val="1"/>
          <w:color w:val="auto"/>
        </w:rPr>
        <w:t>Recently issued accounting pronouncements not yet adopted</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Customer’s Accounting for Implementation Costs Incurred in a Cloud Computing Arrangement That is a Service Contract</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In August 2018, the FASB issued ASU 2018-15, </w:t>
      </w:r>
      <w:r>
        <w:rPr>
          <w:rFonts w:ascii="Arial" w:cs="Arial" w:eastAsia="Arial" w:hAnsi="Arial"/>
          <w:sz w:val="13"/>
          <w:szCs w:val="13"/>
          <w:i w:val="1"/>
          <w:iCs w:val="1"/>
          <w:color w:val="auto"/>
        </w:rPr>
        <w:t>Intangibles – Goodwill and Other – Internal-Use Software (Subtopic 350-40): Customer’s Accounting for Implementation Costs Incurred in a Cloud Computing Arrangement That</w:t>
      </w:r>
      <w:r>
        <w:rPr>
          <w:rFonts w:ascii="Arial" w:cs="Arial" w:eastAsia="Arial" w:hAnsi="Arial"/>
          <w:sz w:val="13"/>
          <w:szCs w:val="13"/>
          <w:color w:val="auto"/>
        </w:rPr>
        <w:t xml:space="preserve"> </w:t>
      </w:r>
      <w:r>
        <w:rPr>
          <w:rFonts w:ascii="Arial" w:cs="Arial" w:eastAsia="Arial" w:hAnsi="Arial"/>
          <w:sz w:val="13"/>
          <w:szCs w:val="13"/>
          <w:i w:val="1"/>
          <w:iCs w:val="1"/>
          <w:color w:val="auto"/>
        </w:rPr>
        <w:t>is a Service Contract</w:t>
      </w:r>
      <w:r>
        <w:rPr>
          <w:rFonts w:ascii="Arial" w:cs="Arial" w:eastAsia="Arial" w:hAnsi="Arial"/>
          <w:sz w:val="13"/>
          <w:szCs w:val="13"/>
          <w:color w:val="auto"/>
        </w:rPr>
        <w:t>. The amendments in this update require customers in a cloud computing arrangement that is a service contract to assess related implementation costs for capitalization using the same approach as</w:t>
      </w:r>
      <w:r>
        <w:rPr>
          <w:rFonts w:ascii="Arial" w:cs="Arial" w:eastAsia="Arial" w:hAnsi="Arial"/>
          <w:sz w:val="13"/>
          <w:szCs w:val="13"/>
          <w:i w:val="1"/>
          <w:iCs w:val="1"/>
          <w:color w:val="auto"/>
        </w:rPr>
        <w:t xml:space="preserve"> </w:t>
      </w:r>
      <w:r>
        <w:rPr>
          <w:rFonts w:ascii="Arial" w:cs="Arial" w:eastAsia="Arial" w:hAnsi="Arial"/>
          <w:sz w:val="13"/>
          <w:szCs w:val="13"/>
          <w:color w:val="auto"/>
        </w:rPr>
        <w:t>implementation costs associated with internal-use software. These amendments are effective for fiscal years, and interim periods within those years, beginning after December 15, 2019, with early adoption permitted. Entities may apply the amendments using a retrospective or prospective transition method. The amendments will be effective for Targa in the first quarter of 2020. We currently plan to apply the prospective transition method and do not expect a material impact on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4 — Divestitures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Train 7 Joint Venture</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February 2019, we announced an extension of Grand Prix from Southern Oklahoma to the STACK region of Central Oklahoma where it will connect with the Williams Companies, Inc. (“Williams”) Bluestem Pipeline and link the Conway, Kansas, and Mont Belvieu, Texas, NGL markets. In connection with this project, Williams has committed significant volumes to us that we will transport on Grand Prix and fractionate at our Mont Belvieu facilities. Williams also had an initial option to purchase a 20% equity interest in one of our recently announced 110 MBbl/d fractionation trains (Train 7 or Train 8) in Mont Belvieu. Williams exercised its option to acquire a 20% equity interest in Train 7 and subsequently executed a joint venture agreement with us in the second quarter of 2019. Certain fractionation-related infrastructure for Train 7, including storage caverns and brine handling, will be funded and owned 100% by Targa.</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 of Interest in Targa Badlands LLC</w:t>
      </w:r>
    </w:p>
    <w:p>
      <w:pPr>
        <w:spacing w:after="0" w:line="86"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On April 3, 2019, we closed on the sale of a 45% interest in Targa Badlands LLC, the entity that holds substantially all of our assets in North Dakota, to funds managed by GSO Capital Partners and Blackstone Tactical Opportunities (collectively, “Blackstone”) for $1.6 billion in cash. We used the net cash proceeds to repay debt and for general corporate purposes, including funding our growth capital program. We continue to be the operator of Targa Badlands LLC and hold majority governance rights. Future growth capital of Targa Badlands LLC is expected to be funded on a pro rata ownership basis. Targa Badlands LLC will pay a minimum quarterly distribution (“MQD”) to Blackstone and Targa, with Blackstone having a priority right on such MQDs. Additionally, Blackstone’s capital contributions would have a liquidation preference upon a sale of Targa Badlands LLC. We will continue to present Targa Badlands LLC on a consolidated basis in our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5 — Inventories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18"/>
        </w:trPr>
        <w:tc>
          <w:tcPr>
            <w:tcW w:w="23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540" w:type="dxa"/>
            <w:vAlign w:val="bottom"/>
          </w:tcPr>
          <w:p>
            <w:pPr>
              <w:jc w:val="right"/>
              <w:ind w:right="170"/>
              <w:spacing w:after="0"/>
              <w:rPr>
                <w:sz w:val="20"/>
                <w:szCs w:val="20"/>
                <w:color w:val="auto"/>
              </w:rPr>
            </w:pPr>
            <w:r>
              <w:rPr>
                <w:rFonts w:ascii="Arial" w:cs="Arial" w:eastAsia="Arial" w:hAnsi="Arial"/>
                <w:sz w:val="10"/>
                <w:szCs w:val="10"/>
                <w:b w:val="1"/>
                <w:bCs w:val="1"/>
                <w:color w:val="auto"/>
              </w:rPr>
              <w:t>March 31, 2019</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2"/>
          </w:tcPr>
          <w:p>
            <w:pPr>
              <w:ind w:left="260"/>
              <w:spacing w:after="0"/>
              <w:rPr>
                <w:sz w:val="20"/>
                <w:szCs w:val="20"/>
                <w:color w:val="auto"/>
              </w:rPr>
            </w:pPr>
            <w:r>
              <w:rPr>
                <w:rFonts w:ascii="Arial" w:cs="Arial" w:eastAsia="Arial" w:hAnsi="Arial"/>
                <w:sz w:val="10"/>
                <w:szCs w:val="10"/>
                <w:b w:val="1"/>
                <w:bCs w:val="1"/>
                <w:color w:val="auto"/>
              </w:rPr>
              <w:t>December 31, 2018</w:t>
            </w:r>
          </w:p>
        </w:tc>
      </w:tr>
      <w:tr>
        <w:trPr>
          <w:trHeight w:val="102"/>
        </w:trPr>
        <w:tc>
          <w:tcPr>
            <w:tcW w:w="234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Commodities</w:t>
            </w:r>
          </w:p>
        </w:tc>
        <w:tc>
          <w:tcPr>
            <w:tcW w:w="1440" w:type="dxa"/>
            <w:vAlign w:val="bottom"/>
            <w:tcBorders>
              <w:top w:val="single" w:sz="8" w:color="CFF0FC"/>
            </w:tcBorders>
            <w:shd w:val="clear" w:color="auto" w:fill="CFF0FC"/>
          </w:tcPr>
          <w:p>
            <w:pPr>
              <w:spacing w:after="0"/>
              <w:rPr>
                <w:sz w:val="8"/>
                <w:szCs w:val="8"/>
                <w:color w:val="auto"/>
              </w:rPr>
            </w:pPr>
          </w:p>
        </w:tc>
        <w:tc>
          <w:tcPr>
            <w:tcW w:w="1540" w:type="dxa"/>
            <w:vAlign w:val="bottom"/>
            <w:tcBorders>
              <w:top w:val="single" w:sz="8" w:color="auto"/>
            </w:tcBorders>
            <w:shd w:val="clear" w:color="auto" w:fill="CFF0FC"/>
          </w:tcPr>
          <w:p>
            <w:pPr>
              <w:jc w:val="right"/>
              <w:ind w:right="1430"/>
              <w:spacing w:after="0" w:line="103"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176.4</w:t>
            </w:r>
          </w:p>
        </w:tc>
        <w:tc>
          <w:tcPr>
            <w:tcW w:w="220" w:type="dxa"/>
            <w:vAlign w:val="bottom"/>
            <w:tcBorders>
              <w:top w:val="single" w:sz="8" w:color="CFF0FC"/>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jc w:val="right"/>
              <w:ind w:right="235"/>
              <w:spacing w:after="0"/>
              <w:rPr>
                <w:sz w:val="20"/>
                <w:szCs w:val="20"/>
                <w:color w:val="auto"/>
              </w:rPr>
            </w:pPr>
            <w:r>
              <w:rPr>
                <w:rFonts w:ascii="Arial" w:cs="Arial" w:eastAsia="Arial" w:hAnsi="Arial"/>
                <w:sz w:val="5"/>
                <w:szCs w:val="5"/>
                <w:color w:val="auto"/>
                <w:w w:val="70"/>
              </w:rPr>
              <w:t>$</w:t>
            </w:r>
          </w:p>
        </w:tc>
        <w:tc>
          <w:tcPr>
            <w:tcW w:w="16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151.1</w:t>
            </w:r>
          </w:p>
        </w:tc>
        <w:tc>
          <w:tcPr>
            <w:tcW w:w="100" w:type="dxa"/>
            <w:vAlign w:val="bottom"/>
            <w:tcBorders>
              <w:top w:val="single" w:sz="8" w:color="CFF0FC"/>
            </w:tcBorders>
            <w:shd w:val="clear" w:color="auto" w:fill="CFF0FC"/>
          </w:tcPr>
          <w:p>
            <w:pPr>
              <w:spacing w:after="0"/>
              <w:rPr>
                <w:sz w:val="8"/>
                <w:szCs w:val="8"/>
                <w:color w:val="auto"/>
              </w:rPr>
            </w:pPr>
          </w:p>
        </w:tc>
      </w:tr>
      <w:tr>
        <w:trPr>
          <w:trHeight w:val="113"/>
        </w:trPr>
        <w:tc>
          <w:tcPr>
            <w:tcW w:w="2340" w:type="dxa"/>
            <w:vAlign w:val="bottom"/>
            <w:tcBorders>
              <w:bottom w:val="single" w:sz="8" w:color="CFF0FC"/>
            </w:tcBorders>
          </w:tcPr>
          <w:p>
            <w:pPr>
              <w:spacing w:after="0" w:line="113" w:lineRule="exact"/>
              <w:rPr>
                <w:sz w:val="20"/>
                <w:szCs w:val="20"/>
                <w:color w:val="auto"/>
              </w:rPr>
            </w:pPr>
            <w:r>
              <w:rPr>
                <w:rFonts w:ascii="Arial" w:cs="Arial" w:eastAsia="Arial" w:hAnsi="Arial"/>
                <w:sz w:val="10"/>
                <w:szCs w:val="10"/>
                <w:color w:val="auto"/>
              </w:rPr>
              <w:t>Materials and supplies</w:t>
            </w:r>
          </w:p>
        </w:tc>
        <w:tc>
          <w:tcPr>
            <w:tcW w:w="1440" w:type="dxa"/>
            <w:vAlign w:val="bottom"/>
            <w:tcBorders>
              <w:bottom w:val="single" w:sz="8" w:color="CFF0FC"/>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21.5</w:t>
            </w:r>
          </w:p>
        </w:tc>
        <w:tc>
          <w:tcPr>
            <w:tcW w:w="220" w:type="dxa"/>
            <w:vAlign w:val="bottom"/>
            <w:tcBorders>
              <w:bottom w:val="single" w:sz="8" w:color="CFF0FC"/>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13.6</w:t>
            </w:r>
          </w:p>
        </w:tc>
        <w:tc>
          <w:tcPr>
            <w:tcW w:w="100" w:type="dxa"/>
            <w:vAlign w:val="bottom"/>
            <w:tcBorders>
              <w:bottom w:val="single" w:sz="8" w:color="CFF0FC"/>
            </w:tcBorders>
          </w:tcPr>
          <w:p>
            <w:pPr>
              <w:spacing w:after="0"/>
              <w:rPr>
                <w:sz w:val="9"/>
                <w:szCs w:val="9"/>
                <w:color w:val="auto"/>
              </w:rPr>
            </w:pPr>
          </w:p>
        </w:tc>
      </w:tr>
      <w:tr>
        <w:trPr>
          <w:trHeight w:val="111"/>
        </w:trPr>
        <w:tc>
          <w:tcPr>
            <w:tcW w:w="2340" w:type="dxa"/>
            <w:vAlign w:val="bottom"/>
            <w:tcBorders>
              <w:bottom w:val="single" w:sz="8" w:color="CFF0FC"/>
            </w:tcBorders>
            <w:shd w:val="clear" w:color="auto" w:fill="CFF0FC"/>
          </w:tcPr>
          <w:p>
            <w:pPr>
              <w:spacing w:after="0"/>
              <w:rPr>
                <w:sz w:val="9"/>
                <w:szCs w:val="9"/>
                <w:color w:val="auto"/>
              </w:rPr>
            </w:pPr>
          </w:p>
        </w:tc>
        <w:tc>
          <w:tcPr>
            <w:tcW w:w="1440" w:type="dxa"/>
            <w:vAlign w:val="bottom"/>
            <w:tcBorders>
              <w:bottom w:val="single" w:sz="8" w:color="CFF0FC"/>
            </w:tcBorders>
            <w:shd w:val="clear" w:color="auto" w:fill="CFF0FC"/>
          </w:tcPr>
          <w:p>
            <w:pPr>
              <w:spacing w:after="0"/>
              <w:rPr>
                <w:sz w:val="9"/>
                <w:szCs w:val="9"/>
                <w:color w:val="auto"/>
              </w:rPr>
            </w:pPr>
          </w:p>
        </w:tc>
        <w:tc>
          <w:tcPr>
            <w:tcW w:w="1540" w:type="dxa"/>
            <w:vAlign w:val="bottom"/>
            <w:tcBorders>
              <w:bottom w:val="single" w:sz="8" w:color="auto"/>
            </w:tcBorders>
            <w:shd w:val="clear" w:color="auto" w:fill="CFF0FC"/>
          </w:tcPr>
          <w:p>
            <w:pPr>
              <w:jc w:val="right"/>
              <w:ind w:right="1430"/>
              <w:spacing w:after="0" w:line="103" w:lineRule="exact"/>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197.9</w:t>
            </w:r>
          </w:p>
        </w:tc>
        <w:tc>
          <w:tcPr>
            <w:tcW w:w="22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jc w:val="right"/>
              <w:ind w:right="235"/>
              <w:spacing w:after="0"/>
              <w:rPr>
                <w:sz w:val="20"/>
                <w:szCs w:val="20"/>
                <w:color w:val="auto"/>
              </w:rPr>
            </w:pPr>
            <w:r>
              <w:rPr>
                <w:rFonts w:ascii="Arial" w:cs="Arial" w:eastAsia="Arial" w:hAnsi="Arial"/>
                <w:sz w:val="5"/>
                <w:szCs w:val="5"/>
                <w:color w:val="auto"/>
                <w:w w:val="70"/>
              </w:rPr>
              <w:t>$</w:t>
            </w:r>
          </w:p>
        </w:tc>
        <w:tc>
          <w:tcPr>
            <w:tcW w:w="166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164.7</w:t>
            </w:r>
          </w:p>
        </w:tc>
        <w:tc>
          <w:tcPr>
            <w:tcW w:w="100" w:type="dxa"/>
            <w:vAlign w:val="bottom"/>
            <w:tcBorders>
              <w:bottom w:val="single" w:sz="8" w:color="CFF0FC"/>
            </w:tcBorders>
            <w:shd w:val="clear" w:color="auto" w:fill="CFF0FC"/>
          </w:tcPr>
          <w:p>
            <w:pPr>
              <w:spacing w:after="0"/>
              <w:rPr>
                <w:sz w:val="9"/>
                <w:szCs w:val="9"/>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403" w:right="19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Note 6 — Property, Plant and Equipment and Intangible Assets</w:t>
      </w:r>
    </w:p>
    <w:p>
      <w:pPr>
        <w:spacing w:after="0" w:line="148" w:lineRule="exact"/>
        <w:rPr>
          <w:sz w:val="20"/>
          <w:szCs w:val="20"/>
          <w:color w:val="auto"/>
        </w:rPr>
      </w:pPr>
    </w:p>
    <w:tbl>
      <w:tblPr>
        <w:tblLayout w:type="fixed"/>
        <w:tblInd w:w="15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91"/>
              </w:rPr>
              <w:t>Estimated Useful Lives (In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March 31, 2019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9"/>
              </w:rPr>
              <w:t>December 31, 2018</w:t>
            </w: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91"/>
              </w:rPr>
              <w:t>Years)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Gathering systems</w:t>
            </w:r>
          </w:p>
        </w:tc>
        <w:tc>
          <w:tcPr>
            <w:tcW w:w="106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114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8,417.2</w:t>
            </w:r>
          </w:p>
        </w:tc>
        <w:tc>
          <w:tcPr>
            <w:tcW w:w="12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jc w:val="right"/>
              <w:ind w:right="70"/>
              <w:spacing w:after="0" w:line="103" w:lineRule="exact"/>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7,547.9</w:t>
            </w:r>
          </w:p>
        </w:tc>
        <w:tc>
          <w:tcPr>
            <w:tcW w:w="200" w:type="dxa"/>
            <w:vAlign w:val="bottom"/>
            <w:tcBorders>
              <w:top w:val="single" w:sz="8" w:color="CFF0FC"/>
            </w:tcBorders>
            <w:shd w:val="clear" w:color="auto" w:fill="CFF0FC"/>
          </w:tcPr>
          <w:p>
            <w:pPr>
              <w:spacing w:after="0"/>
              <w:rPr>
                <w:sz w:val="8"/>
                <w:szCs w:val="8"/>
                <w:color w:val="auto"/>
              </w:rPr>
            </w:pPr>
          </w:p>
        </w:tc>
        <w:tc>
          <w:tcPr>
            <w:tcW w:w="1220" w:type="dxa"/>
            <w:vAlign w:val="bottom"/>
            <w:tcBorders>
              <w:top w:val="single" w:sz="8" w:color="auto"/>
            </w:tcBorders>
            <w:shd w:val="clear" w:color="auto" w:fill="CFF0FC"/>
          </w:tcPr>
          <w:p>
            <w:pPr>
              <w:jc w:val="center"/>
              <w:spacing w:after="0" w:line="103" w:lineRule="exact"/>
              <w:rPr>
                <w:sz w:val="20"/>
                <w:szCs w:val="20"/>
                <w:color w:val="auto"/>
              </w:rPr>
            </w:pPr>
            <w:r>
              <w:rPr>
                <w:rFonts w:ascii="Arial" w:cs="Arial" w:eastAsia="Arial" w:hAnsi="Arial"/>
                <w:sz w:val="10"/>
                <w:szCs w:val="10"/>
                <w:color w:val="auto"/>
                <w:w w:val="91"/>
              </w:rPr>
              <w:t>5 to 20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80" w:type="dxa"/>
            <w:vAlign w:val="bottom"/>
          </w:tcPr>
          <w:p>
            <w:pPr>
              <w:spacing w:after="0" w:line="113" w:lineRule="exact"/>
              <w:rPr>
                <w:sz w:val="20"/>
                <w:szCs w:val="20"/>
                <w:color w:val="auto"/>
              </w:rPr>
            </w:pPr>
            <w:r>
              <w:rPr>
                <w:rFonts w:ascii="Arial" w:cs="Arial" w:eastAsia="Arial" w:hAnsi="Arial"/>
                <w:sz w:val="10"/>
                <w:szCs w:val="10"/>
                <w:color w:val="auto"/>
              </w:rPr>
              <w:t>Processing and fractionation facilities</w:t>
            </w: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right"/>
              <w:spacing w:after="0" w:line="113" w:lineRule="exact"/>
              <w:rPr>
                <w:sz w:val="20"/>
                <w:szCs w:val="20"/>
                <w:color w:val="auto"/>
              </w:rPr>
            </w:pPr>
            <w:r>
              <w:rPr>
                <w:rFonts w:ascii="Arial" w:cs="Arial" w:eastAsia="Arial" w:hAnsi="Arial"/>
                <w:sz w:val="10"/>
                <w:szCs w:val="10"/>
                <w:color w:val="auto"/>
              </w:rPr>
              <w:t>4,287.4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jc w:val="right"/>
              <w:spacing w:after="0" w:line="113" w:lineRule="exact"/>
              <w:rPr>
                <w:sz w:val="20"/>
                <w:szCs w:val="20"/>
                <w:color w:val="auto"/>
              </w:rPr>
            </w:pPr>
            <w:r>
              <w:rPr>
                <w:rFonts w:ascii="Arial" w:cs="Arial" w:eastAsia="Arial" w:hAnsi="Arial"/>
                <w:sz w:val="10"/>
                <w:szCs w:val="10"/>
                <w:color w:val="auto"/>
              </w:rPr>
              <w:t>4,001.0</w:t>
            </w:r>
          </w:p>
        </w:tc>
        <w:tc>
          <w:tcPr>
            <w:tcW w:w="200" w:type="dxa"/>
            <w:vAlign w:val="bottom"/>
          </w:tcPr>
          <w:p>
            <w:pPr>
              <w:spacing w:after="0"/>
              <w:rPr>
                <w:sz w:val="9"/>
                <w:szCs w:val="9"/>
                <w:color w:val="auto"/>
              </w:rPr>
            </w:pPr>
          </w:p>
        </w:tc>
        <w:tc>
          <w:tcPr>
            <w:tcW w:w="1220" w:type="dxa"/>
            <w:vAlign w:val="bottom"/>
          </w:tcPr>
          <w:p>
            <w:pPr>
              <w:jc w:val="center"/>
              <w:spacing w:after="0" w:line="113" w:lineRule="exact"/>
              <w:rPr>
                <w:sz w:val="20"/>
                <w:szCs w:val="20"/>
                <w:color w:val="auto"/>
              </w:rPr>
            </w:pPr>
            <w:r>
              <w:rPr>
                <w:rFonts w:ascii="Arial" w:cs="Arial" w:eastAsia="Arial" w:hAnsi="Arial"/>
                <w:sz w:val="10"/>
                <w:szCs w:val="10"/>
                <w:color w:val="auto"/>
                <w:w w:val="91"/>
              </w:rPr>
              <w:t>5 to 25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Terminaling and storage facilities</w:t>
            </w:r>
          </w:p>
        </w:tc>
        <w:tc>
          <w:tcPr>
            <w:tcW w:w="10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1,173.0</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1,138.7</w:t>
            </w:r>
          </w:p>
        </w:tc>
        <w:tc>
          <w:tcPr>
            <w:tcW w:w="200" w:type="dxa"/>
            <w:vAlign w:val="bottom"/>
            <w:shd w:val="clear" w:color="auto" w:fill="CFF0FC"/>
          </w:tcPr>
          <w:p>
            <w:pPr>
              <w:spacing w:after="0"/>
              <w:rPr>
                <w:sz w:val="9"/>
                <w:szCs w:val="9"/>
                <w:color w:val="auto"/>
              </w:rPr>
            </w:pPr>
          </w:p>
        </w:tc>
        <w:tc>
          <w:tcPr>
            <w:tcW w:w="1220" w:type="dxa"/>
            <w:vAlign w:val="bottom"/>
            <w:shd w:val="clear" w:color="auto" w:fill="CFF0FC"/>
          </w:tcPr>
          <w:p>
            <w:pPr>
              <w:jc w:val="center"/>
              <w:spacing w:after="0" w:line="113" w:lineRule="exact"/>
              <w:rPr>
                <w:sz w:val="20"/>
                <w:szCs w:val="20"/>
                <w:color w:val="auto"/>
              </w:rPr>
            </w:pPr>
            <w:r>
              <w:rPr>
                <w:rFonts w:ascii="Arial" w:cs="Arial" w:eastAsia="Arial" w:hAnsi="Arial"/>
                <w:sz w:val="10"/>
                <w:szCs w:val="10"/>
                <w:color w:val="auto"/>
                <w:w w:val="91"/>
              </w:rPr>
              <w:t>5 to 25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80" w:type="dxa"/>
            <w:vAlign w:val="bottom"/>
          </w:tcPr>
          <w:p>
            <w:pPr>
              <w:spacing w:after="0" w:line="113" w:lineRule="exact"/>
              <w:rPr>
                <w:sz w:val="20"/>
                <w:szCs w:val="20"/>
                <w:color w:val="auto"/>
              </w:rPr>
            </w:pPr>
            <w:r>
              <w:rPr>
                <w:rFonts w:ascii="Arial" w:cs="Arial" w:eastAsia="Arial" w:hAnsi="Arial"/>
                <w:sz w:val="10"/>
                <w:szCs w:val="10"/>
                <w:color w:val="auto"/>
              </w:rPr>
              <w:t>Transportation assets</w:t>
            </w: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right"/>
              <w:spacing w:after="0" w:line="113" w:lineRule="exact"/>
              <w:rPr>
                <w:sz w:val="20"/>
                <w:szCs w:val="20"/>
                <w:color w:val="auto"/>
              </w:rPr>
            </w:pPr>
            <w:r>
              <w:rPr>
                <w:rFonts w:ascii="Arial" w:cs="Arial" w:eastAsia="Arial" w:hAnsi="Arial"/>
                <w:sz w:val="10"/>
                <w:szCs w:val="10"/>
                <w:color w:val="auto"/>
              </w:rPr>
              <w:t>1,016.8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jc w:val="right"/>
              <w:spacing w:after="0" w:line="113" w:lineRule="exact"/>
              <w:rPr>
                <w:sz w:val="20"/>
                <w:szCs w:val="20"/>
                <w:color w:val="auto"/>
              </w:rPr>
            </w:pPr>
            <w:r>
              <w:rPr>
                <w:rFonts w:ascii="Arial" w:cs="Arial" w:eastAsia="Arial" w:hAnsi="Arial"/>
                <w:sz w:val="10"/>
                <w:szCs w:val="10"/>
                <w:color w:val="auto"/>
              </w:rPr>
              <w:t>445.1</w:t>
            </w:r>
          </w:p>
        </w:tc>
        <w:tc>
          <w:tcPr>
            <w:tcW w:w="200" w:type="dxa"/>
            <w:vAlign w:val="bottom"/>
          </w:tcPr>
          <w:p>
            <w:pPr>
              <w:spacing w:after="0"/>
              <w:rPr>
                <w:sz w:val="9"/>
                <w:szCs w:val="9"/>
                <w:color w:val="auto"/>
              </w:rPr>
            </w:pPr>
          </w:p>
        </w:tc>
        <w:tc>
          <w:tcPr>
            <w:tcW w:w="1220" w:type="dxa"/>
            <w:vAlign w:val="bottom"/>
          </w:tcPr>
          <w:p>
            <w:pPr>
              <w:jc w:val="center"/>
              <w:spacing w:after="0" w:line="113" w:lineRule="exact"/>
              <w:rPr>
                <w:sz w:val="20"/>
                <w:szCs w:val="20"/>
                <w:color w:val="auto"/>
              </w:rPr>
            </w:pPr>
            <w:r>
              <w:rPr>
                <w:rFonts w:ascii="Arial" w:cs="Arial" w:eastAsia="Arial" w:hAnsi="Arial"/>
                <w:sz w:val="10"/>
                <w:szCs w:val="10"/>
                <w:color w:val="auto"/>
                <w:w w:val="88"/>
              </w:rPr>
              <w:t>10 to 25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Other property, plant and equipment</w:t>
            </w:r>
          </w:p>
        </w:tc>
        <w:tc>
          <w:tcPr>
            <w:tcW w:w="10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398.6</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334.3</w:t>
            </w:r>
          </w:p>
        </w:tc>
        <w:tc>
          <w:tcPr>
            <w:tcW w:w="200" w:type="dxa"/>
            <w:vAlign w:val="bottom"/>
            <w:shd w:val="clear" w:color="auto" w:fill="CFF0FC"/>
          </w:tcPr>
          <w:p>
            <w:pPr>
              <w:spacing w:after="0"/>
              <w:rPr>
                <w:sz w:val="9"/>
                <w:szCs w:val="9"/>
                <w:color w:val="auto"/>
              </w:rPr>
            </w:pPr>
          </w:p>
        </w:tc>
        <w:tc>
          <w:tcPr>
            <w:tcW w:w="1220" w:type="dxa"/>
            <w:vAlign w:val="bottom"/>
            <w:shd w:val="clear" w:color="auto" w:fill="CFF0FC"/>
          </w:tcPr>
          <w:p>
            <w:pPr>
              <w:jc w:val="center"/>
              <w:spacing w:after="0" w:line="113" w:lineRule="exact"/>
              <w:rPr>
                <w:sz w:val="20"/>
                <w:szCs w:val="20"/>
                <w:color w:val="auto"/>
              </w:rPr>
            </w:pPr>
            <w:r>
              <w:rPr>
                <w:rFonts w:ascii="Arial" w:cs="Arial" w:eastAsia="Arial" w:hAnsi="Arial"/>
                <w:sz w:val="10"/>
                <w:szCs w:val="10"/>
                <w:color w:val="auto"/>
                <w:w w:val="91"/>
              </w:rPr>
              <w:t>3 to 25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80" w:type="dxa"/>
            <w:vAlign w:val="bottom"/>
          </w:tcPr>
          <w:p>
            <w:pPr>
              <w:spacing w:after="0" w:line="113" w:lineRule="exact"/>
              <w:rPr>
                <w:sz w:val="20"/>
                <w:szCs w:val="20"/>
                <w:color w:val="auto"/>
              </w:rPr>
            </w:pPr>
            <w:r>
              <w:rPr>
                <w:rFonts w:ascii="Arial" w:cs="Arial" w:eastAsia="Arial" w:hAnsi="Arial"/>
                <w:sz w:val="10"/>
                <w:szCs w:val="10"/>
                <w:color w:val="auto"/>
              </w:rPr>
              <w:t>Land</w:t>
            </w: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right"/>
              <w:spacing w:after="0" w:line="113" w:lineRule="exact"/>
              <w:rPr>
                <w:sz w:val="20"/>
                <w:szCs w:val="20"/>
                <w:color w:val="auto"/>
              </w:rPr>
            </w:pPr>
            <w:r>
              <w:rPr>
                <w:rFonts w:ascii="Arial" w:cs="Arial" w:eastAsia="Arial" w:hAnsi="Arial"/>
                <w:sz w:val="10"/>
                <w:szCs w:val="10"/>
                <w:color w:val="auto"/>
              </w:rPr>
              <w:t>149.2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jc w:val="right"/>
              <w:spacing w:after="0" w:line="113" w:lineRule="exact"/>
              <w:rPr>
                <w:sz w:val="20"/>
                <w:szCs w:val="20"/>
                <w:color w:val="auto"/>
              </w:rPr>
            </w:pPr>
            <w:r>
              <w:rPr>
                <w:rFonts w:ascii="Arial" w:cs="Arial" w:eastAsia="Arial" w:hAnsi="Arial"/>
                <w:sz w:val="10"/>
                <w:szCs w:val="10"/>
                <w:color w:val="auto"/>
              </w:rPr>
              <w:t>144.3</w:t>
            </w:r>
          </w:p>
        </w:tc>
        <w:tc>
          <w:tcPr>
            <w:tcW w:w="200" w:type="dxa"/>
            <w:vAlign w:val="bottom"/>
          </w:tcPr>
          <w:p>
            <w:pPr>
              <w:spacing w:after="0"/>
              <w:rPr>
                <w:sz w:val="9"/>
                <w:szCs w:val="9"/>
                <w:color w:val="auto"/>
              </w:rPr>
            </w:pPr>
          </w:p>
        </w:tc>
        <w:tc>
          <w:tcPr>
            <w:tcW w:w="1220" w:type="dxa"/>
            <w:vAlign w:val="bottom"/>
          </w:tcPr>
          <w:p>
            <w:pPr>
              <w:jc w:val="center"/>
              <w:spacing w:after="0" w:line="113" w:lineRule="exact"/>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Construction in progress</w:t>
            </w:r>
          </w:p>
        </w:tc>
        <w:tc>
          <w:tcPr>
            <w:tcW w:w="10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2,699.2</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3,602.5</w:t>
            </w:r>
          </w:p>
        </w:tc>
        <w:tc>
          <w:tcPr>
            <w:tcW w:w="200" w:type="dxa"/>
            <w:vAlign w:val="bottom"/>
            <w:shd w:val="clear" w:color="auto" w:fill="CFF0FC"/>
          </w:tcPr>
          <w:p>
            <w:pPr>
              <w:spacing w:after="0"/>
              <w:rPr>
                <w:sz w:val="9"/>
                <w:szCs w:val="9"/>
                <w:color w:val="auto"/>
              </w:rPr>
            </w:pPr>
          </w:p>
        </w:tc>
        <w:tc>
          <w:tcPr>
            <w:tcW w:w="1220" w:type="dxa"/>
            <w:vAlign w:val="bottom"/>
            <w:shd w:val="clear" w:color="auto" w:fill="CFF0FC"/>
          </w:tcPr>
          <w:p>
            <w:pPr>
              <w:jc w:val="center"/>
              <w:spacing w:after="0" w:line="113" w:lineRule="exact"/>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80" w:type="dxa"/>
            <w:vAlign w:val="bottom"/>
          </w:tcPr>
          <w:p>
            <w:pPr>
              <w:spacing w:after="0" w:line="113" w:lineRule="exact"/>
              <w:rPr>
                <w:sz w:val="20"/>
                <w:szCs w:val="20"/>
                <w:color w:val="auto"/>
              </w:rPr>
            </w:pPr>
            <w:r>
              <w:rPr>
                <w:rFonts w:ascii="Arial" w:cs="Arial" w:eastAsia="Arial" w:hAnsi="Arial"/>
                <w:sz w:val="10"/>
                <w:szCs w:val="10"/>
                <w:color w:val="auto"/>
              </w:rPr>
              <w:t>Finance lease right-of-use assets</w:t>
            </w: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right"/>
              <w:spacing w:after="0" w:line="113" w:lineRule="exact"/>
              <w:rPr>
                <w:sz w:val="20"/>
                <w:szCs w:val="20"/>
                <w:color w:val="auto"/>
              </w:rPr>
            </w:pPr>
            <w:r>
              <w:rPr>
                <w:rFonts w:ascii="Arial" w:cs="Arial" w:eastAsia="Arial" w:hAnsi="Arial"/>
                <w:sz w:val="10"/>
                <w:szCs w:val="10"/>
                <w:color w:val="auto"/>
              </w:rPr>
              <w:t>40.9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Borders>
              <w:top w:val="single" w:sz="8" w:color="CFF0FC"/>
            </w:tcBorders>
            <w:shd w:val="clear" w:color="auto" w:fill="CFF0FC"/>
          </w:tcPr>
          <w:p>
            <w:pPr>
              <w:ind w:left="160"/>
              <w:spacing w:after="0" w:line="103" w:lineRule="exact"/>
              <w:rPr>
                <w:sz w:val="20"/>
                <w:szCs w:val="20"/>
                <w:color w:val="auto"/>
              </w:rPr>
            </w:pPr>
            <w:r>
              <w:rPr>
                <w:rFonts w:ascii="Arial" w:cs="Arial" w:eastAsia="Arial" w:hAnsi="Arial"/>
                <w:sz w:val="10"/>
                <w:szCs w:val="10"/>
                <w:color w:val="auto"/>
              </w:rPr>
              <w:t>Property, plant and equipment</w:t>
            </w:r>
          </w:p>
        </w:tc>
        <w:tc>
          <w:tcPr>
            <w:tcW w:w="106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114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18,182.3</w:t>
            </w:r>
          </w:p>
        </w:tc>
        <w:tc>
          <w:tcPr>
            <w:tcW w:w="12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12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17,213.8</w:t>
            </w:r>
          </w:p>
        </w:tc>
        <w:tc>
          <w:tcPr>
            <w:tcW w:w="200" w:type="dxa"/>
            <w:vAlign w:val="bottom"/>
            <w:tcBorders>
              <w:top w:val="single" w:sz="8" w:color="CFF0FC"/>
            </w:tcBorders>
            <w:shd w:val="clear" w:color="auto" w:fill="CFF0FC"/>
          </w:tcPr>
          <w:p>
            <w:pPr>
              <w:spacing w:after="0"/>
              <w:rPr>
                <w:sz w:val="8"/>
                <w:szCs w:val="8"/>
                <w:color w:val="auto"/>
              </w:rPr>
            </w:pPr>
          </w:p>
        </w:tc>
        <w:tc>
          <w:tcPr>
            <w:tcW w:w="12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80" w:type="dxa"/>
            <w:vAlign w:val="bottom"/>
          </w:tcPr>
          <w:p>
            <w:pPr>
              <w:ind w:left="160"/>
              <w:spacing w:after="0" w:line="113" w:lineRule="exact"/>
              <w:rPr>
                <w:sz w:val="20"/>
                <w:szCs w:val="20"/>
                <w:color w:val="auto"/>
              </w:rPr>
            </w:pPr>
            <w:r>
              <w:rPr>
                <w:rFonts w:ascii="Arial" w:cs="Arial" w:eastAsia="Arial" w:hAnsi="Arial"/>
                <w:sz w:val="10"/>
                <w:szCs w:val="10"/>
                <w:color w:val="auto"/>
              </w:rPr>
              <w:t>Accumulated depreciation and amortization</w:t>
            </w: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(4,479.2)</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(4,285.5)</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980" w:type="dxa"/>
            <w:vAlign w:val="bottom"/>
            <w:tcBorders>
              <w:top w:val="single" w:sz="8" w:color="CFF0FC"/>
              <w:bottom w:val="single" w:sz="8" w:color="CFF0FC"/>
            </w:tcBorders>
            <w:shd w:val="clear" w:color="auto" w:fill="CFF0FC"/>
          </w:tcPr>
          <w:p>
            <w:pPr>
              <w:ind w:left="320"/>
              <w:spacing w:after="0" w:line="103" w:lineRule="exact"/>
              <w:rPr>
                <w:sz w:val="20"/>
                <w:szCs w:val="20"/>
                <w:color w:val="auto"/>
              </w:rPr>
            </w:pPr>
            <w:r>
              <w:rPr>
                <w:rFonts w:ascii="Arial" w:cs="Arial" w:eastAsia="Arial" w:hAnsi="Arial"/>
                <w:sz w:val="10"/>
                <w:szCs w:val="10"/>
                <w:color w:val="auto"/>
              </w:rPr>
              <w:t>Property, plant and equipment, net</w:t>
            </w:r>
          </w:p>
        </w:tc>
        <w:tc>
          <w:tcPr>
            <w:tcW w:w="1060" w:type="dxa"/>
            <w:vAlign w:val="bottom"/>
            <w:tcBorders>
              <w:top w:val="single" w:sz="8" w:color="CFF0FC"/>
              <w:bottom w:val="single" w:sz="8" w:color="CFF0FC"/>
            </w:tcBorders>
            <w:shd w:val="clear" w:color="auto" w:fill="CFF0FC"/>
          </w:tcPr>
          <w:p>
            <w:pPr>
              <w:spacing w:after="0"/>
              <w:rPr>
                <w:sz w:val="9"/>
                <w:szCs w:val="9"/>
                <w:color w:val="auto"/>
              </w:rPr>
            </w:pPr>
          </w:p>
        </w:tc>
        <w:tc>
          <w:tcPr>
            <w:tcW w:w="2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114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13,703.1</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80" w:type="dxa"/>
            <w:vAlign w:val="bottom"/>
            <w:tcBorders>
              <w:top w:val="single" w:sz="8" w:color="CFF0FC"/>
              <w:bottom w:val="single" w:sz="8" w:color="CFF0FC"/>
            </w:tcBorders>
            <w:shd w:val="clear" w:color="auto" w:fill="CFF0FC"/>
          </w:tcPr>
          <w:p>
            <w:pPr>
              <w:spacing w:after="0"/>
              <w:rPr>
                <w:sz w:val="9"/>
                <w:szCs w:val="9"/>
                <w:color w:val="auto"/>
              </w:rPr>
            </w:pPr>
          </w:p>
        </w:tc>
        <w:tc>
          <w:tcPr>
            <w:tcW w:w="180" w:type="dxa"/>
            <w:vAlign w:val="bottom"/>
            <w:tcBorders>
              <w:top w:val="single" w:sz="8" w:color="auto"/>
              <w:bottom w:val="single" w:sz="8" w:color="auto"/>
            </w:tcBorders>
            <w:shd w:val="clear" w:color="auto" w:fill="CFF0FC"/>
          </w:tcPr>
          <w:p>
            <w:pPr>
              <w:jc w:val="right"/>
              <w:ind w:right="70"/>
              <w:spacing w:after="0" w:line="103" w:lineRule="exact"/>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12,928.3</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220" w:type="dxa"/>
            <w:vAlign w:val="bottom"/>
            <w:tcBorders>
              <w:top w:val="single" w:sz="8" w:color="CFF0FC"/>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9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Intangible assets</w:t>
            </w:r>
          </w:p>
        </w:tc>
        <w:tc>
          <w:tcPr>
            <w:tcW w:w="1260" w:type="dxa"/>
            <w:vAlign w:val="bottom"/>
            <w:gridSpan w:val="2"/>
            <w:shd w:val="clear" w:color="auto" w:fill="CFF0FC"/>
          </w:tcPr>
          <w:p>
            <w:pPr>
              <w:jc w:val="right"/>
              <w:ind w:right="135"/>
              <w:spacing w:after="0" w:line="113" w:lineRule="exact"/>
              <w:rPr>
                <w:sz w:val="20"/>
                <w:szCs w:val="20"/>
                <w:color w:val="auto"/>
              </w:rPr>
            </w:pPr>
            <w:r>
              <w:rPr>
                <w:rFonts w:ascii="Arial" w:cs="Arial" w:eastAsia="Arial" w:hAnsi="Arial"/>
                <w:sz w:val="10"/>
                <w:szCs w:val="10"/>
                <w:color w:val="auto"/>
              </w:rPr>
              <w:t>$</w:t>
            </w:r>
          </w:p>
        </w:tc>
        <w:tc>
          <w:tcPr>
            <w:tcW w:w="11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2,736.6</w:t>
            </w:r>
          </w:p>
        </w:tc>
        <w:tc>
          <w:tcPr>
            <w:tcW w:w="120" w:type="dxa"/>
            <w:vAlign w:val="bottom"/>
            <w:shd w:val="clear" w:color="auto" w:fill="CFF0FC"/>
          </w:tcPr>
          <w:p>
            <w:pPr>
              <w:spacing w:after="0"/>
              <w:rPr>
                <w:sz w:val="9"/>
                <w:szCs w:val="9"/>
                <w:color w:val="auto"/>
              </w:rPr>
            </w:pPr>
          </w:p>
        </w:tc>
        <w:tc>
          <w:tcPr>
            <w:tcW w:w="260" w:type="dxa"/>
            <w:vAlign w:val="bottom"/>
            <w:gridSpan w:val="2"/>
            <w:shd w:val="clear" w:color="auto" w:fill="CFF0FC"/>
          </w:tcPr>
          <w:p>
            <w:pPr>
              <w:jc w:val="right"/>
              <w:ind w:right="70"/>
              <w:spacing w:after="0" w:line="113" w:lineRule="exact"/>
              <w:rPr>
                <w:sz w:val="20"/>
                <w:szCs w:val="20"/>
                <w:color w:val="auto"/>
              </w:rPr>
            </w:pPr>
            <w:r>
              <w:rPr>
                <w:rFonts w:ascii="Arial" w:cs="Arial" w:eastAsia="Arial" w:hAnsi="Arial"/>
                <w:sz w:val="10"/>
                <w:szCs w:val="10"/>
                <w:color w:val="auto"/>
              </w:rPr>
              <w:t>$</w:t>
            </w:r>
          </w:p>
        </w:tc>
        <w:tc>
          <w:tcPr>
            <w:tcW w:w="12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2,736.6</w:t>
            </w:r>
          </w:p>
        </w:tc>
        <w:tc>
          <w:tcPr>
            <w:tcW w:w="200" w:type="dxa"/>
            <w:vAlign w:val="bottom"/>
            <w:shd w:val="clear" w:color="auto" w:fill="CFF0FC"/>
          </w:tcPr>
          <w:p>
            <w:pPr>
              <w:spacing w:after="0"/>
              <w:rPr>
                <w:sz w:val="9"/>
                <w:szCs w:val="9"/>
                <w:color w:val="auto"/>
              </w:rPr>
            </w:pPr>
          </w:p>
        </w:tc>
        <w:tc>
          <w:tcPr>
            <w:tcW w:w="1220" w:type="dxa"/>
            <w:vAlign w:val="bottom"/>
            <w:shd w:val="clear" w:color="auto" w:fill="CFF0FC"/>
          </w:tcPr>
          <w:p>
            <w:pPr>
              <w:jc w:val="center"/>
              <w:spacing w:after="0" w:line="113" w:lineRule="exact"/>
              <w:rPr>
                <w:sz w:val="20"/>
                <w:szCs w:val="20"/>
                <w:color w:val="auto"/>
              </w:rPr>
            </w:pPr>
            <w:r>
              <w:rPr>
                <w:rFonts w:ascii="Arial" w:cs="Arial" w:eastAsia="Arial" w:hAnsi="Arial"/>
                <w:sz w:val="10"/>
                <w:szCs w:val="10"/>
                <w:color w:val="auto"/>
                <w:w w:val="88"/>
              </w:rPr>
              <w:t>10 to 20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80" w:type="dxa"/>
            <w:vAlign w:val="bottom"/>
          </w:tcPr>
          <w:p>
            <w:pPr>
              <w:spacing w:after="0" w:line="113" w:lineRule="exact"/>
              <w:rPr>
                <w:sz w:val="20"/>
                <w:szCs w:val="20"/>
                <w:color w:val="auto"/>
              </w:rPr>
            </w:pPr>
            <w:r>
              <w:rPr>
                <w:rFonts w:ascii="Arial" w:cs="Arial" w:eastAsia="Arial" w:hAnsi="Arial"/>
                <w:sz w:val="10"/>
                <w:szCs w:val="10"/>
                <w:color w:val="auto"/>
              </w:rPr>
              <w:t>Accumulated amortization</w:t>
            </w: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(796.4)</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(753.4)</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980" w:type="dxa"/>
            <w:vAlign w:val="bottom"/>
            <w:tcBorders>
              <w:top w:val="single" w:sz="8" w:color="CFF0FC"/>
              <w:bottom w:val="single" w:sz="8" w:color="CFF0FC"/>
            </w:tcBorders>
            <w:shd w:val="clear" w:color="auto" w:fill="CFF0FC"/>
          </w:tcPr>
          <w:p>
            <w:pPr>
              <w:ind w:left="160"/>
              <w:spacing w:after="0" w:line="103" w:lineRule="exact"/>
              <w:rPr>
                <w:sz w:val="20"/>
                <w:szCs w:val="20"/>
                <w:color w:val="auto"/>
              </w:rPr>
            </w:pPr>
            <w:r>
              <w:rPr>
                <w:rFonts w:ascii="Arial" w:cs="Arial" w:eastAsia="Arial" w:hAnsi="Arial"/>
                <w:sz w:val="10"/>
                <w:szCs w:val="10"/>
                <w:color w:val="auto"/>
              </w:rPr>
              <w:t>Intangible assets, net</w:t>
            </w:r>
          </w:p>
        </w:tc>
        <w:tc>
          <w:tcPr>
            <w:tcW w:w="1060" w:type="dxa"/>
            <w:vAlign w:val="bottom"/>
            <w:tcBorders>
              <w:top w:val="single" w:sz="8" w:color="CFF0FC"/>
              <w:bottom w:val="single" w:sz="8" w:color="CFF0FC"/>
            </w:tcBorders>
            <w:shd w:val="clear" w:color="auto" w:fill="CFF0FC"/>
          </w:tcPr>
          <w:p>
            <w:pPr>
              <w:spacing w:after="0"/>
              <w:rPr>
                <w:sz w:val="9"/>
                <w:szCs w:val="9"/>
                <w:color w:val="auto"/>
              </w:rPr>
            </w:pPr>
          </w:p>
        </w:tc>
        <w:tc>
          <w:tcPr>
            <w:tcW w:w="2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114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1,940.2</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80" w:type="dxa"/>
            <w:vAlign w:val="bottom"/>
            <w:tcBorders>
              <w:top w:val="single" w:sz="8" w:color="CFF0FC"/>
              <w:bottom w:val="single" w:sz="8" w:color="CFF0FC"/>
            </w:tcBorders>
            <w:shd w:val="clear" w:color="auto" w:fill="CFF0FC"/>
          </w:tcPr>
          <w:p>
            <w:pPr>
              <w:spacing w:after="0"/>
              <w:rPr>
                <w:sz w:val="9"/>
                <w:szCs w:val="9"/>
                <w:color w:val="auto"/>
              </w:rPr>
            </w:pPr>
          </w:p>
        </w:tc>
        <w:tc>
          <w:tcPr>
            <w:tcW w:w="180" w:type="dxa"/>
            <w:vAlign w:val="bottom"/>
            <w:tcBorders>
              <w:top w:val="single" w:sz="8" w:color="auto"/>
              <w:bottom w:val="single" w:sz="8" w:color="auto"/>
            </w:tcBorders>
            <w:shd w:val="clear" w:color="auto" w:fill="CFF0FC"/>
          </w:tcPr>
          <w:p>
            <w:pPr>
              <w:jc w:val="right"/>
              <w:ind w:right="70"/>
              <w:spacing w:after="0" w:line="103" w:lineRule="exact"/>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1,983.2</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220" w:type="dxa"/>
            <w:vAlign w:val="bottom"/>
            <w:tcBorders>
              <w:top w:val="single" w:sz="8" w:color="CFF0FC"/>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During the preparation of the Company's consolidated financial statements for the three months ended March 31, 2019, the Company identified an error related to depreciation expense on certain assets that should have been placed in-service during 2018. The Company does not believe this error is material to its previously issued historical consolidated financial statements for any of the periods impacted and accordingly, has not adjusted the historical financial statements. The Company has recorded the cumulative impact of the adjustment in the three months ended March 31, 2019. This adjustment resulted in a one-time $12.5 million overstatement of depreciation expense during the three months ended March 31, 2019.</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During the three months ended March 31, 2019 and 2018, depreciation expense was $194.4 million and $152.4 million.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Intangible Assets</w:t>
      </w:r>
    </w:p>
    <w:p>
      <w:pPr>
        <w:spacing w:after="0" w:line="152" w:lineRule="exact"/>
        <w:rPr>
          <w:sz w:val="20"/>
          <w:szCs w:val="20"/>
          <w:color w:val="auto"/>
        </w:rPr>
      </w:pPr>
    </w:p>
    <w:p>
      <w:pPr>
        <w:jc w:val="both"/>
        <w:spacing w:after="0" w:line="315" w:lineRule="auto"/>
        <w:rPr>
          <w:sz w:val="20"/>
          <w:szCs w:val="20"/>
          <w:color w:val="auto"/>
        </w:rPr>
      </w:pPr>
      <w:r>
        <w:rPr>
          <w:rFonts w:ascii="Arial" w:cs="Arial" w:eastAsia="Arial" w:hAnsi="Arial"/>
          <w:sz w:val="11"/>
          <w:szCs w:val="11"/>
          <w:color w:val="auto"/>
        </w:rPr>
        <w:t>Intangible assets consist of customer contracts and customer relationships acquired in prior business combinations. The fair value of these acquired intangible assets were determined at the date of acquisition based on the present values of estimated future cash flows. Amortization expense attributable to these assets is recorded over the periods in which we benefit from services provided to customers. We are amortizing these assets over lives ranging from 10 to 20 years using a method that closely reflects the cash flow pattern underlying their valuation, or the straight-line method, if a reliably determinable pattern of amortization could not be identified.</w:t>
      </w:r>
    </w:p>
    <w:p>
      <w:pPr>
        <w:spacing w:after="0" w:line="104" w:lineRule="exact"/>
        <w:rPr>
          <w:sz w:val="20"/>
          <w:szCs w:val="20"/>
          <w:color w:val="auto"/>
        </w:rPr>
      </w:pPr>
    </w:p>
    <w:p>
      <w:pPr>
        <w:spacing w:after="0"/>
        <w:rPr>
          <w:sz w:val="20"/>
          <w:szCs w:val="20"/>
          <w:color w:val="auto"/>
        </w:rPr>
      </w:pPr>
      <w:r>
        <w:rPr>
          <w:rFonts w:ascii="Arial" w:cs="Arial" w:eastAsia="Arial" w:hAnsi="Arial"/>
          <w:sz w:val="11"/>
          <w:szCs w:val="11"/>
          <w:color w:val="auto"/>
        </w:rPr>
        <w:t>The estimated annual amortization expense for intangible assets is approximately $171.6 million, $159.4 million, $149.5 million, $141.2 million and $136.0 million for each of the years 2019 through 2023.</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changes in our intangible assets are as follows:</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5700" w:type="dxa"/>
            <w:vAlign w:val="bottom"/>
            <w:shd w:val="clear" w:color="auto" w:fill="CFF0FC"/>
          </w:tcPr>
          <w:p>
            <w:pPr>
              <w:spacing w:after="0"/>
              <w:rPr>
                <w:sz w:val="20"/>
                <w:szCs w:val="20"/>
                <w:color w:val="auto"/>
              </w:rPr>
            </w:pPr>
            <w:r>
              <w:rPr>
                <w:rFonts w:ascii="Arial" w:cs="Arial" w:eastAsia="Arial" w:hAnsi="Arial"/>
                <w:sz w:val="10"/>
                <w:szCs w:val="10"/>
                <w:color w:val="auto"/>
              </w:rPr>
              <w:t>Balance at December 31, 2018</w:t>
            </w:r>
          </w:p>
        </w:tc>
        <w:tc>
          <w:tcPr>
            <w:tcW w:w="1000" w:type="dxa"/>
            <w:vAlign w:val="bottom"/>
            <w:shd w:val="clear" w:color="auto" w:fill="CFF0FC"/>
          </w:tcPr>
          <w:p>
            <w:pPr>
              <w:jc w:val="right"/>
              <w:ind w:right="935"/>
              <w:spacing w:after="0"/>
              <w:rPr>
                <w:sz w:val="20"/>
                <w:szCs w:val="20"/>
                <w:color w:val="auto"/>
              </w:rPr>
            </w:pPr>
            <w:r>
              <w:rPr>
                <w:rFonts w:ascii="Arial" w:cs="Arial" w:eastAsia="Arial" w:hAnsi="Arial"/>
                <w:sz w:val="5"/>
                <w:szCs w:val="5"/>
                <w:color w:val="auto"/>
                <w:w w:val="70"/>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1,983.2</w:t>
            </w:r>
          </w:p>
        </w:tc>
        <w:tc>
          <w:tcPr>
            <w:tcW w:w="80" w:type="dxa"/>
            <w:vAlign w:val="bottom"/>
            <w:shd w:val="clear" w:color="auto" w:fill="CFF0FC"/>
          </w:tcPr>
          <w:p>
            <w:pPr>
              <w:spacing w:after="0"/>
              <w:rPr>
                <w:sz w:val="10"/>
                <w:szCs w:val="10"/>
                <w:color w:val="auto"/>
              </w:rPr>
            </w:pPr>
          </w:p>
        </w:tc>
      </w:tr>
      <w:tr>
        <w:trPr>
          <w:trHeight w:val="113"/>
        </w:trPr>
        <w:tc>
          <w:tcPr>
            <w:tcW w:w="5700" w:type="dxa"/>
            <w:vAlign w:val="bottom"/>
          </w:tcPr>
          <w:p>
            <w:pPr>
              <w:spacing w:after="0" w:line="113" w:lineRule="exact"/>
              <w:rPr>
                <w:sz w:val="20"/>
                <w:szCs w:val="20"/>
                <w:color w:val="auto"/>
              </w:rPr>
            </w:pPr>
            <w:r>
              <w:rPr>
                <w:rFonts w:ascii="Arial" w:cs="Arial" w:eastAsia="Arial" w:hAnsi="Arial"/>
                <w:sz w:val="10"/>
                <w:szCs w:val="10"/>
                <w:color w:val="auto"/>
              </w:rPr>
              <w:t>Amortization</w:t>
            </w:r>
          </w:p>
        </w:tc>
        <w:tc>
          <w:tcPr>
            <w:tcW w:w="1000" w:type="dxa"/>
            <w:vAlign w:val="bottom"/>
          </w:tcPr>
          <w:p>
            <w:pPr>
              <w:spacing w:after="0"/>
              <w:rPr>
                <w:sz w:val="9"/>
                <w:szCs w:val="9"/>
                <w:color w:val="auto"/>
              </w:rPr>
            </w:pPr>
          </w:p>
        </w:tc>
        <w:tc>
          <w:tcPr>
            <w:tcW w:w="134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(43.0)</w:t>
            </w:r>
          </w:p>
        </w:tc>
      </w:tr>
      <w:tr>
        <w:trPr>
          <w:trHeight w:val="111"/>
        </w:trPr>
        <w:tc>
          <w:tcPr>
            <w:tcW w:w="5700" w:type="dxa"/>
            <w:vAlign w:val="bottom"/>
            <w:tcBorders>
              <w:top w:val="single" w:sz="8" w:color="CFF0FC"/>
              <w:bottom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Balance at March 31, 2019</w:t>
            </w:r>
          </w:p>
        </w:tc>
        <w:tc>
          <w:tcPr>
            <w:tcW w:w="1000" w:type="dxa"/>
            <w:vAlign w:val="bottom"/>
            <w:tcBorders>
              <w:top w:val="single" w:sz="8" w:color="auto"/>
              <w:bottom w:val="single" w:sz="8" w:color="auto"/>
            </w:tcBorders>
            <w:shd w:val="clear" w:color="auto" w:fill="CFF0FC"/>
          </w:tcPr>
          <w:p>
            <w:pPr>
              <w:jc w:val="right"/>
              <w:ind w:right="935"/>
              <w:spacing w:after="0"/>
              <w:rPr>
                <w:sz w:val="20"/>
                <w:szCs w:val="20"/>
                <w:color w:val="auto"/>
              </w:rPr>
            </w:pPr>
            <w:r>
              <w:rPr>
                <w:rFonts w:ascii="Arial" w:cs="Arial" w:eastAsia="Arial" w:hAnsi="Arial"/>
                <w:sz w:val="5"/>
                <w:szCs w:val="5"/>
                <w:color w:val="auto"/>
                <w:w w:val="70"/>
              </w:rPr>
              <w:t>$</w:t>
            </w:r>
          </w:p>
        </w:tc>
        <w:tc>
          <w:tcPr>
            <w:tcW w:w="126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1,940.2</w:t>
            </w:r>
          </w:p>
        </w:tc>
        <w:tc>
          <w:tcPr>
            <w:tcW w:w="80" w:type="dxa"/>
            <w:vAlign w:val="bottom"/>
            <w:tcBorders>
              <w:top w:val="single" w:sz="8" w:color="CFF0FC"/>
              <w:bottom w:val="single" w:sz="8" w:color="CFF0FC"/>
            </w:tcBorders>
            <w:shd w:val="clear" w:color="auto" w:fill="CFF0FC"/>
          </w:tcPr>
          <w:p>
            <w:pPr>
              <w:spacing w:after="0"/>
              <w:rPr>
                <w:sz w:val="9"/>
                <w:szCs w:val="9"/>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13" w:name="page14"/>
    <w:bookmarkEnd w:id="13"/>
    <w:p>
      <w:pPr>
        <w:ind w:left="5"/>
        <w:spacing w:after="0"/>
        <w:rPr>
          <w:sz w:val="20"/>
          <w:szCs w:val="20"/>
          <w:color w:val="auto"/>
        </w:rPr>
      </w:pPr>
      <w:r>
        <w:rPr>
          <w:rFonts w:ascii="Arial" w:cs="Arial" w:eastAsia="Arial" w:hAnsi="Arial"/>
          <w:sz w:val="13"/>
          <w:szCs w:val="13"/>
          <w:b w:val="1"/>
          <w:bCs w:val="1"/>
          <w:color w:val="auto"/>
        </w:rPr>
        <w:t>Note 7 – Investments in Unconsolidated Affiliates</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3"/>
          <w:szCs w:val="13"/>
          <w:color w:val="auto"/>
        </w:rPr>
        <w:t>Our investments in unconsolidated affiliates consist of the following:</w:t>
      </w:r>
    </w:p>
    <w:p>
      <w:pPr>
        <w:spacing w:after="0" w:line="152" w:lineRule="exact"/>
        <w:rPr>
          <w:sz w:val="20"/>
          <w:szCs w:val="20"/>
          <w:color w:val="auto"/>
        </w:rPr>
      </w:pPr>
    </w:p>
    <w:p>
      <w:pPr>
        <w:ind w:left="745" w:hanging="368"/>
        <w:spacing w:after="0"/>
        <w:tabs>
          <w:tab w:leader="none" w:pos="745" w:val="left"/>
        </w:tabs>
        <w:numPr>
          <w:ilvl w:val="0"/>
          <w:numId w:val="7"/>
        </w:numPr>
        <w:rPr>
          <w:rFonts w:ascii="Arial" w:cs="Arial" w:eastAsia="Arial" w:hAnsi="Arial"/>
          <w:sz w:val="13"/>
          <w:szCs w:val="13"/>
          <w:color w:val="auto"/>
        </w:rPr>
      </w:pPr>
      <w:r>
        <w:rPr>
          <w:rFonts w:ascii="Arial" w:cs="Arial" w:eastAsia="Arial" w:hAnsi="Arial"/>
          <w:sz w:val="13"/>
          <w:szCs w:val="13"/>
          <w:color w:val="auto"/>
        </w:rPr>
        <w:t>a 38.8% non-operated ownership interest in Gulf Coast Fractionators LP (“GCF”);</w:t>
      </w:r>
    </w:p>
    <w:p>
      <w:pPr>
        <w:spacing w:after="0" w:line="8" w:lineRule="exact"/>
        <w:rPr>
          <w:rFonts w:ascii="Arial" w:cs="Arial" w:eastAsia="Arial" w:hAnsi="Arial"/>
          <w:sz w:val="13"/>
          <w:szCs w:val="13"/>
          <w:color w:val="auto"/>
        </w:rPr>
      </w:pPr>
    </w:p>
    <w:p>
      <w:pPr>
        <w:ind w:left="745" w:right="20" w:hanging="368"/>
        <w:spacing w:after="0" w:line="241" w:lineRule="auto"/>
        <w:tabs>
          <w:tab w:leader="none" w:pos="745" w:val="left"/>
        </w:tabs>
        <w:numPr>
          <w:ilvl w:val="0"/>
          <w:numId w:val="7"/>
        </w:numPr>
        <w:rPr>
          <w:rFonts w:ascii="Arial" w:cs="Arial" w:eastAsia="Arial" w:hAnsi="Arial"/>
          <w:sz w:val="13"/>
          <w:szCs w:val="13"/>
          <w:color w:val="auto"/>
        </w:rPr>
      </w:pPr>
      <w:r>
        <w:rPr>
          <w:rFonts w:ascii="Arial" w:cs="Arial" w:eastAsia="Arial" w:hAnsi="Arial"/>
          <w:sz w:val="13"/>
          <w:szCs w:val="13"/>
          <w:color w:val="auto"/>
        </w:rPr>
        <w:t>two non-operated joint ventures in South Texas: a 75% interest in T2 LaSalle Gathering Company L.L.C. (“T2 LaSalle”), a gas gathering company, and a 50% interest in T2 Eagle Ford Gathering Company L.L.C. (“T2 Eagle Ford”), a gas gathering company, (together the “T2 Joint Ventures”);</w:t>
      </w:r>
    </w:p>
    <w:p>
      <w:pPr>
        <w:ind w:left="745" w:right="20" w:hanging="368"/>
        <w:spacing w:after="0" w:line="285" w:lineRule="auto"/>
        <w:tabs>
          <w:tab w:leader="none" w:pos="745" w:val="left"/>
        </w:tabs>
        <w:numPr>
          <w:ilvl w:val="0"/>
          <w:numId w:val="7"/>
        </w:numPr>
        <w:rPr>
          <w:rFonts w:ascii="Arial" w:cs="Arial" w:eastAsia="Arial" w:hAnsi="Arial"/>
          <w:sz w:val="11"/>
          <w:szCs w:val="11"/>
          <w:color w:val="auto"/>
        </w:rPr>
      </w:pPr>
      <w:r>
        <w:rPr>
          <w:rFonts w:ascii="Arial" w:cs="Arial" w:eastAsia="Arial" w:hAnsi="Arial"/>
          <w:sz w:val="11"/>
          <w:szCs w:val="11"/>
          <w:color w:val="auto"/>
        </w:rPr>
        <w:t>a 50% operated ownership interest in Cayenne Pipeline, LLC, a joint venture with American Midstream LLC that owns a 62-mile gas pipeline to an NGL pipeline, which connects the VESCO plant in Venice, Louisiana to the Enterprise Products Operating LLC (“Enterprise”) pipeline at Toca, Louisiana, for delivery to Enterprise’s Norco Fractionator (the “Cayenne Joint Venture”);</w:t>
      </w:r>
    </w:p>
    <w:p>
      <w:pPr>
        <w:ind w:left="745" w:hanging="368"/>
        <w:spacing w:after="0"/>
        <w:tabs>
          <w:tab w:leader="none" w:pos="745" w:val="left"/>
        </w:tabs>
        <w:numPr>
          <w:ilvl w:val="0"/>
          <w:numId w:val="7"/>
        </w:numPr>
        <w:rPr>
          <w:rFonts w:ascii="Arial" w:cs="Arial" w:eastAsia="Arial" w:hAnsi="Arial"/>
          <w:sz w:val="13"/>
          <w:szCs w:val="13"/>
          <w:color w:val="auto"/>
        </w:rPr>
      </w:pPr>
      <w:r>
        <w:rPr>
          <w:rFonts w:ascii="Arial" w:cs="Arial" w:eastAsia="Arial" w:hAnsi="Arial"/>
          <w:sz w:val="13"/>
          <w:szCs w:val="13"/>
          <w:color w:val="auto"/>
        </w:rPr>
        <w:t>a 25% non-operated ownership interest in Gulf Coast Express Pipeline LLC (“GCX”);</w:t>
      </w:r>
    </w:p>
    <w:p>
      <w:pPr>
        <w:spacing w:after="0" w:line="1" w:lineRule="exact"/>
        <w:rPr>
          <w:rFonts w:ascii="Arial" w:cs="Arial" w:eastAsia="Arial" w:hAnsi="Arial"/>
          <w:sz w:val="13"/>
          <w:szCs w:val="13"/>
          <w:color w:val="auto"/>
        </w:rPr>
      </w:pPr>
    </w:p>
    <w:p>
      <w:pPr>
        <w:ind w:left="745" w:right="20" w:hanging="368"/>
        <w:spacing w:after="0" w:line="241" w:lineRule="auto"/>
        <w:tabs>
          <w:tab w:leader="none" w:pos="745" w:val="left"/>
        </w:tabs>
        <w:numPr>
          <w:ilvl w:val="0"/>
          <w:numId w:val="7"/>
        </w:numPr>
        <w:rPr>
          <w:rFonts w:ascii="Arial" w:cs="Arial" w:eastAsia="Arial" w:hAnsi="Arial"/>
          <w:sz w:val="13"/>
          <w:szCs w:val="13"/>
          <w:color w:val="auto"/>
        </w:rPr>
      </w:pPr>
      <w:r>
        <w:rPr>
          <w:rFonts w:ascii="Arial" w:cs="Arial" w:eastAsia="Arial" w:hAnsi="Arial"/>
          <w:sz w:val="13"/>
          <w:szCs w:val="13"/>
          <w:color w:val="auto"/>
        </w:rPr>
        <w:t>a 50% operated ownership interest in Little Missouri 4 LLC (the “Little Missouri 4 Joint Venture”), a joint venture to construct a new 200 MMcf/d natural gas processing plant at Targa’s existing Little Missouri facility; and</w:t>
      </w:r>
    </w:p>
    <w:p>
      <w:pPr>
        <w:ind w:left="745" w:right="20" w:hanging="368"/>
        <w:spacing w:after="0" w:line="243" w:lineRule="auto"/>
        <w:tabs>
          <w:tab w:leader="none" w:pos="745" w:val="left"/>
        </w:tabs>
        <w:numPr>
          <w:ilvl w:val="0"/>
          <w:numId w:val="7"/>
        </w:numPr>
        <w:rPr>
          <w:rFonts w:ascii="Arial" w:cs="Arial" w:eastAsia="Arial" w:hAnsi="Arial"/>
          <w:sz w:val="13"/>
          <w:szCs w:val="13"/>
          <w:color w:val="auto"/>
        </w:rPr>
      </w:pPr>
      <w:r>
        <w:rPr>
          <w:rFonts w:ascii="Arial" w:cs="Arial" w:eastAsia="Arial" w:hAnsi="Arial"/>
          <w:sz w:val="13"/>
          <w:szCs w:val="13"/>
          <w:color w:val="auto"/>
        </w:rPr>
        <w:t>a 10% non-operated ownership interest in Delaware Basin Residue, LLC (the “Agua Blanca Joint Venture”), a joint venture with affiliates of First Infrastructure Capital Advisors LLC and Markwest Energy Partners, L.P. in the Agua Blanca pipeline.</w:t>
      </w:r>
    </w:p>
    <w:p>
      <w:pPr>
        <w:spacing w:after="0" w:line="142" w:lineRule="exact"/>
        <w:rPr>
          <w:sz w:val="20"/>
          <w:szCs w:val="20"/>
          <w:color w:val="auto"/>
        </w:rPr>
      </w:pPr>
    </w:p>
    <w:p>
      <w:pPr>
        <w:ind w:left="5" w:right="20"/>
        <w:spacing w:after="0" w:line="344" w:lineRule="auto"/>
        <w:rPr>
          <w:sz w:val="20"/>
          <w:szCs w:val="20"/>
          <w:color w:val="auto"/>
        </w:rPr>
      </w:pPr>
      <w:r>
        <w:rPr>
          <w:rFonts w:ascii="Arial" w:cs="Arial" w:eastAsia="Arial" w:hAnsi="Arial"/>
          <w:sz w:val="11"/>
          <w:szCs w:val="11"/>
          <w:color w:val="auto"/>
        </w:rPr>
        <w:t>Investments in GCF, the Cayenne Joint Venture, GCX and the Agua Blanca Joint Venture are included in the total assets of our Logistics and Marketing segment. Investments in the T2 Joint Ventures and the Little Missouri 4 Joint Venture are included in the total assets of our Gathering and Processing segment. See Note 19 – Segment Information for more information regarding our segment assets.</w:t>
      </w:r>
    </w:p>
    <w:p>
      <w:pPr>
        <w:spacing w:after="0" w:line="89" w:lineRule="exact"/>
        <w:rPr>
          <w:sz w:val="20"/>
          <w:szCs w:val="20"/>
          <w:color w:val="auto"/>
        </w:rPr>
      </w:pPr>
    </w:p>
    <w:p>
      <w:pPr>
        <w:ind w:left="5"/>
        <w:spacing w:after="0" w:line="254" w:lineRule="auto"/>
        <w:rPr>
          <w:sz w:val="20"/>
          <w:szCs w:val="20"/>
          <w:color w:val="auto"/>
        </w:rPr>
      </w:pPr>
      <w:r>
        <w:rPr>
          <w:rFonts w:ascii="Arial" w:cs="Arial" w:eastAsia="Arial" w:hAnsi="Arial"/>
          <w:sz w:val="13"/>
          <w:szCs w:val="13"/>
          <w:color w:val="auto"/>
        </w:rPr>
        <w:t>The terms of these joint venture agreements do not afford us the degree of control required for consolidating them in our consolidated financial statements, but do afford us the significant influence required to employ the equity method of accounting.</w:t>
      </w:r>
    </w:p>
    <w:p>
      <w:pPr>
        <w:spacing w:after="0" w:line="135" w:lineRule="exact"/>
        <w:rPr>
          <w:sz w:val="20"/>
          <w:szCs w:val="20"/>
          <w:color w:val="auto"/>
        </w:rPr>
      </w:pPr>
    </w:p>
    <w:p>
      <w:pPr>
        <w:ind w:left="5" w:right="20"/>
        <w:spacing w:after="0" w:line="254" w:lineRule="auto"/>
        <w:rPr>
          <w:sz w:val="20"/>
          <w:szCs w:val="20"/>
          <w:color w:val="auto"/>
        </w:rPr>
      </w:pPr>
      <w:r>
        <w:rPr>
          <w:rFonts w:ascii="Arial" w:cs="Arial" w:eastAsia="Arial" w:hAnsi="Arial"/>
          <w:sz w:val="13"/>
          <w:szCs w:val="13"/>
          <w:color w:val="auto"/>
        </w:rPr>
        <w:t>The T2 Joint Ventures were formed to provide services for the benefit of their joint interest owners and have capacity lease agreements with their joint interest owners, which cover costs of operations (excluding depreciation and amortization). On April 1, 2019, we assumed the operatorship of the T2 Joint Ventures.</w:t>
      </w:r>
    </w:p>
    <w:p>
      <w:pPr>
        <w:spacing w:after="0" w:line="135"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following table shows the activity related to our investments in unconsolidated affiliates:</w:t>
      </w:r>
    </w:p>
    <w:p>
      <w:pPr>
        <w:spacing w:after="0" w:line="144" w:lineRule="exact"/>
        <w:rPr>
          <w:sz w:val="20"/>
          <w:szCs w:val="20"/>
          <w:color w:val="auto"/>
        </w:rPr>
      </w:pPr>
    </w:p>
    <w:tbl>
      <w:tblPr>
        <w:tblLayout w:type="fixed"/>
        <w:tblInd w:w="5" w:type="dxa"/>
        <w:tblCellMar>
          <w:top w:w="0" w:type="dxa"/>
          <w:left w:w="0" w:type="dxa"/>
          <w:bottom w:w="0" w:type="dxa"/>
          <w:right w:w="0" w:type="dxa"/>
        </w:tblCellMar>
      </w:tblPr>
      <w:tr>
        <w:trPr>
          <w:trHeight w:val="115"/>
        </w:trPr>
        <w:tc>
          <w:tcPr>
            <w:tcW w:w="1780" w:type="dxa"/>
            <w:vAlign w:val="bottom"/>
          </w:tcPr>
          <w:p>
            <w:pPr>
              <w:spacing w:after="0"/>
              <w:rPr>
                <w:sz w:val="10"/>
                <w:szCs w:val="10"/>
                <w:color w:val="auto"/>
              </w:rPr>
            </w:pPr>
          </w:p>
        </w:tc>
        <w:tc>
          <w:tcPr>
            <w:tcW w:w="1380" w:type="dxa"/>
            <w:vAlign w:val="bottom"/>
          </w:tcPr>
          <w:p>
            <w:pPr>
              <w:jc w:val="right"/>
              <w:ind w:right="262"/>
              <w:spacing w:after="0"/>
              <w:rPr>
                <w:sz w:val="20"/>
                <w:szCs w:val="20"/>
                <w:color w:val="auto"/>
              </w:rPr>
            </w:pPr>
            <w:r>
              <w:rPr>
                <w:rFonts w:ascii="Arial" w:cs="Arial" w:eastAsia="Arial" w:hAnsi="Arial"/>
                <w:sz w:val="10"/>
                <w:szCs w:val="10"/>
                <w:b w:val="1"/>
                <w:bCs w:val="1"/>
                <w:color w:val="auto"/>
              </w:rPr>
              <w:t>Balance at</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2"/>
          </w:tcPr>
          <w:p>
            <w:pPr>
              <w:ind w:left="400"/>
              <w:spacing w:after="0"/>
              <w:rPr>
                <w:sz w:val="20"/>
                <w:szCs w:val="20"/>
                <w:color w:val="auto"/>
              </w:rPr>
            </w:pPr>
            <w:r>
              <w:rPr>
                <w:rFonts w:ascii="Arial" w:cs="Arial" w:eastAsia="Arial" w:hAnsi="Arial"/>
                <w:sz w:val="10"/>
                <w:szCs w:val="10"/>
                <w:b w:val="1"/>
                <w:bCs w:val="1"/>
                <w:color w:val="auto"/>
              </w:rPr>
              <w:t>Balance at</w:t>
            </w:r>
          </w:p>
        </w:tc>
        <w:tc>
          <w:tcPr>
            <w:tcW w:w="0" w:type="dxa"/>
            <w:vAlign w:val="bottom"/>
          </w:tcPr>
          <w:p>
            <w:pPr>
              <w:spacing w:after="0"/>
              <w:rPr>
                <w:sz w:val="1"/>
                <w:szCs w:val="1"/>
                <w:color w:val="auto"/>
              </w:rPr>
            </w:pPr>
          </w:p>
        </w:tc>
      </w:tr>
      <w:tr>
        <w:trPr>
          <w:trHeight w:val="118"/>
        </w:trPr>
        <w:tc>
          <w:tcPr>
            <w:tcW w:w="1780" w:type="dxa"/>
            <w:vAlign w:val="bottom"/>
            <w:tcBorders>
              <w:bottom w:val="single" w:sz="8" w:color="CFF0FC"/>
            </w:tcBorders>
          </w:tcPr>
          <w:p>
            <w:pPr>
              <w:spacing w:after="0"/>
              <w:rPr>
                <w:sz w:val="10"/>
                <w:szCs w:val="10"/>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December 31, 2018</w:t>
            </w: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Equity Earnings (Loss)</w:t>
            </w: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156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b w:val="1"/>
                <w:bCs w:val="1"/>
                <w:color w:val="auto"/>
              </w:rPr>
              <w:t>Cash Distributions</w:t>
            </w: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b w:val="1"/>
                <w:bCs w:val="1"/>
                <w:color w:val="auto"/>
              </w:rPr>
              <w:t>Contributions</w:t>
            </w:r>
          </w:p>
        </w:tc>
        <w:tc>
          <w:tcPr>
            <w:tcW w:w="280" w:type="dxa"/>
            <w:vAlign w:val="bottom"/>
            <w:tcBorders>
              <w:bottom w:val="single" w:sz="8" w:color="CFF0FC"/>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0"/>
                <w:szCs w:val="10"/>
                <w:b w:val="1"/>
                <w:bCs w:val="1"/>
                <w:color w:val="auto"/>
              </w:rPr>
              <w:t>March 31, 2019</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780" w:type="dxa"/>
            <w:vAlign w:val="bottom"/>
            <w:shd w:val="clear" w:color="auto" w:fill="CFF0FC"/>
          </w:tcPr>
          <w:p>
            <w:pPr>
              <w:spacing w:after="0" w:line="103" w:lineRule="exact"/>
              <w:rPr>
                <w:sz w:val="20"/>
                <w:szCs w:val="20"/>
                <w:color w:val="auto"/>
              </w:rPr>
            </w:pPr>
            <w:r>
              <w:rPr>
                <w:rFonts w:ascii="Arial" w:cs="Arial" w:eastAsia="Arial" w:hAnsi="Arial"/>
                <w:sz w:val="10"/>
                <w:szCs w:val="10"/>
                <w:color w:val="auto"/>
              </w:rPr>
              <w:t>GCF</w:t>
            </w:r>
          </w:p>
        </w:tc>
        <w:tc>
          <w:tcPr>
            <w:tcW w:w="1380" w:type="dxa"/>
            <w:vAlign w:val="bottom"/>
            <w:shd w:val="clear" w:color="auto" w:fill="CFF0FC"/>
          </w:tcPr>
          <w:p>
            <w:pPr>
              <w:jc w:val="right"/>
              <w:ind w:right="1302"/>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40.3</w:t>
            </w:r>
          </w:p>
        </w:tc>
        <w:tc>
          <w:tcPr>
            <w:tcW w:w="240" w:type="dxa"/>
            <w:vAlign w:val="bottom"/>
            <w:shd w:val="clear" w:color="auto" w:fill="CFF0FC"/>
          </w:tcPr>
          <w:p>
            <w:pPr>
              <w:spacing w:after="0"/>
              <w:rPr>
                <w:sz w:val="8"/>
                <w:szCs w:val="8"/>
                <w:color w:val="auto"/>
              </w:rPr>
            </w:pPr>
          </w:p>
        </w:tc>
        <w:tc>
          <w:tcPr>
            <w:tcW w:w="1300" w:type="dxa"/>
            <w:vAlign w:val="bottom"/>
            <w:shd w:val="clear" w:color="auto" w:fill="CFF0FC"/>
          </w:tcPr>
          <w:p>
            <w:pPr>
              <w:jc w:val="right"/>
              <w:ind w:right="1190"/>
              <w:spacing w:after="0" w:line="103" w:lineRule="exact"/>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4.3</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560" w:type="dxa"/>
            <w:vAlign w:val="bottom"/>
            <w:shd w:val="clear" w:color="auto" w:fill="CFF0FC"/>
          </w:tcPr>
          <w:p>
            <w:pPr>
              <w:jc w:val="right"/>
              <w:ind w:right="148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FF0FC"/>
          </w:tcPr>
          <w:p>
            <w:pPr>
              <w:jc w:val="right"/>
              <w:ind w:right="120"/>
              <w:spacing w:after="0" w:line="103" w:lineRule="exact"/>
              <w:rPr>
                <w:sz w:val="20"/>
                <w:szCs w:val="20"/>
                <w:color w:val="auto"/>
              </w:rPr>
            </w:pPr>
            <w:r>
              <w:rPr>
                <w:rFonts w:ascii="Arial" w:cs="Arial" w:eastAsia="Arial" w:hAnsi="Arial"/>
                <w:sz w:val="10"/>
                <w:szCs w:val="10"/>
                <w:color w:val="auto"/>
              </w:rPr>
              <w:t>(2.2)</w:t>
            </w: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jc w:val="right"/>
              <w:ind w:right="150"/>
              <w:spacing w:after="0" w:line="103" w:lineRule="exact"/>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300" w:type="dxa"/>
            <w:vAlign w:val="bottom"/>
            <w:shd w:val="clear" w:color="auto" w:fill="CFF0FC"/>
          </w:tcPr>
          <w:p>
            <w:pPr>
              <w:jc w:val="right"/>
              <w:ind w:right="275"/>
              <w:spacing w:after="0"/>
              <w:rPr>
                <w:sz w:val="20"/>
                <w:szCs w:val="20"/>
                <w:color w:val="auto"/>
              </w:rPr>
            </w:pPr>
            <w:r>
              <w:rPr>
                <w:rFonts w:ascii="Arial" w:cs="Arial" w:eastAsia="Arial" w:hAnsi="Arial"/>
                <w:sz w:val="1"/>
                <w:szCs w:val="1"/>
                <w:color w:val="auto"/>
                <w:w w:val="4294967288"/>
              </w:rPr>
              <w:t>$</w:t>
            </w:r>
          </w:p>
        </w:tc>
        <w:tc>
          <w:tcPr>
            <w:tcW w:w="15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42.4</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80" w:type="dxa"/>
            <w:vAlign w:val="bottom"/>
          </w:tcPr>
          <w:p>
            <w:pPr>
              <w:spacing w:after="0" w:line="113" w:lineRule="exact"/>
              <w:rPr>
                <w:sz w:val="20"/>
                <w:szCs w:val="20"/>
                <w:color w:val="auto"/>
              </w:rPr>
            </w:pPr>
            <w:r>
              <w:rPr>
                <w:rFonts w:ascii="Arial" w:cs="Arial" w:eastAsia="Arial" w:hAnsi="Arial"/>
                <w:sz w:val="10"/>
                <w:szCs w:val="10"/>
                <w:color w:val="auto"/>
              </w:rPr>
              <w:t>T2 LaSalle (1)</w:t>
            </w:r>
          </w:p>
        </w:tc>
        <w:tc>
          <w:tcPr>
            <w:tcW w:w="138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49.3</w:t>
            </w: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6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(1.5)</w:t>
            </w: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0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Arial" w:cs="Arial" w:eastAsia="Arial" w:hAnsi="Arial"/>
                <w:sz w:val="10"/>
                <w:szCs w:val="10"/>
                <w:color w:val="auto"/>
              </w:rPr>
              <w:t>47.8</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7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T2 Eagle Ford (1)</w:t>
            </w:r>
          </w:p>
        </w:tc>
        <w:tc>
          <w:tcPr>
            <w:tcW w:w="13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99.0</w:t>
            </w:r>
          </w:p>
        </w:tc>
        <w:tc>
          <w:tcPr>
            <w:tcW w:w="2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(2.4)</w:t>
            </w:r>
          </w:p>
        </w:tc>
        <w:tc>
          <w:tcPr>
            <w:tcW w:w="12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540" w:type="dxa"/>
            <w:vAlign w:val="bottom"/>
            <w:tcBorders>
              <w:right w:val="single" w:sz="8" w:color="CFF0FC"/>
            </w:tcBorders>
            <w:gridSpan w:val="2"/>
            <w:shd w:val="clear" w:color="auto" w:fill="CFF0FC"/>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30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96.6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780" w:type="dxa"/>
            <w:vAlign w:val="bottom"/>
          </w:tcPr>
          <w:p>
            <w:pPr>
              <w:spacing w:after="0" w:line="113" w:lineRule="exact"/>
              <w:rPr>
                <w:sz w:val="20"/>
                <w:szCs w:val="20"/>
                <w:color w:val="auto"/>
              </w:rPr>
            </w:pPr>
            <w:r>
              <w:rPr>
                <w:rFonts w:ascii="Arial" w:cs="Arial" w:eastAsia="Arial" w:hAnsi="Arial"/>
                <w:sz w:val="10"/>
                <w:szCs w:val="10"/>
                <w:color w:val="auto"/>
              </w:rPr>
              <w:t>Cayenne</w:t>
            </w:r>
          </w:p>
        </w:tc>
        <w:tc>
          <w:tcPr>
            <w:tcW w:w="138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16.6</w:t>
            </w: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Arial" w:cs="Arial" w:eastAsia="Arial" w:hAnsi="Arial"/>
                <w:sz w:val="10"/>
                <w:szCs w:val="10"/>
                <w:color w:val="auto"/>
              </w:rPr>
              <w:t>1.9</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0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(2.6)</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Arial" w:cs="Arial" w:eastAsia="Arial" w:hAnsi="Arial"/>
                <w:sz w:val="10"/>
                <w:szCs w:val="10"/>
                <w:color w:val="auto"/>
              </w:rPr>
              <w:t>15.9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7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GCX (2)</w:t>
            </w:r>
          </w:p>
        </w:tc>
        <w:tc>
          <w:tcPr>
            <w:tcW w:w="13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211.6</w:t>
            </w:r>
          </w:p>
        </w:tc>
        <w:tc>
          <w:tcPr>
            <w:tcW w:w="2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2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0.6</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110.4</w:t>
            </w:r>
          </w:p>
        </w:tc>
        <w:tc>
          <w:tcPr>
            <w:tcW w:w="280" w:type="dxa"/>
            <w:vAlign w:val="bottom"/>
            <w:tcBorders>
              <w:right w:val="single" w:sz="8" w:color="CFF0FC"/>
            </w:tcBorders>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322.6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780" w:type="dxa"/>
            <w:vAlign w:val="bottom"/>
          </w:tcPr>
          <w:p>
            <w:pPr>
              <w:spacing w:after="0" w:line="113" w:lineRule="exact"/>
              <w:rPr>
                <w:sz w:val="20"/>
                <w:szCs w:val="20"/>
                <w:color w:val="auto"/>
              </w:rPr>
            </w:pPr>
            <w:r>
              <w:rPr>
                <w:rFonts w:ascii="Arial" w:cs="Arial" w:eastAsia="Arial" w:hAnsi="Arial"/>
                <w:sz w:val="10"/>
                <w:szCs w:val="10"/>
                <w:color w:val="auto"/>
              </w:rPr>
              <w:t>Little Missouri 4</w:t>
            </w:r>
          </w:p>
        </w:tc>
        <w:tc>
          <w:tcPr>
            <w:tcW w:w="138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color w:val="auto"/>
              </w:rPr>
              <w:t>67.3</w:t>
            </w: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6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0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Arial" w:cs="Arial" w:eastAsia="Arial" w:hAnsi="Arial"/>
                <w:sz w:val="10"/>
                <w:szCs w:val="10"/>
                <w:color w:val="auto"/>
              </w:rPr>
              <w:t>7.0</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Arial" w:cs="Arial" w:eastAsia="Arial" w:hAnsi="Arial"/>
                <w:sz w:val="10"/>
                <w:szCs w:val="10"/>
                <w:color w:val="auto"/>
              </w:rPr>
              <w:t>74.3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7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Agua Blanca</w:t>
            </w:r>
          </w:p>
        </w:tc>
        <w:tc>
          <w:tcPr>
            <w:tcW w:w="13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6.4</w:t>
            </w:r>
          </w:p>
        </w:tc>
        <w:tc>
          <w:tcPr>
            <w:tcW w:w="2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(0.1)</w:t>
            </w:r>
          </w:p>
        </w:tc>
        <w:tc>
          <w:tcPr>
            <w:tcW w:w="12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540" w:type="dxa"/>
            <w:vAlign w:val="bottom"/>
            <w:tcBorders>
              <w:right w:val="single" w:sz="8" w:color="CFF0FC"/>
            </w:tcBorders>
            <w:gridSpan w:val="2"/>
            <w:shd w:val="clear" w:color="auto" w:fill="CFF0FC"/>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30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6.3</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0"/>
                <w:szCs w:val="10"/>
                <w:color w:val="auto"/>
              </w:rPr>
              <w:t>Total</w:t>
            </w:r>
          </w:p>
        </w:tc>
        <w:tc>
          <w:tcPr>
            <w:tcW w:w="1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780" w:type="dxa"/>
            <w:vAlign w:val="bottom"/>
            <w:vMerge w:val="continue"/>
          </w:tcPr>
          <w:p>
            <w:pPr>
              <w:spacing w:after="0"/>
              <w:rPr>
                <w:sz w:val="8"/>
                <w:szCs w:val="8"/>
                <w:color w:val="auto"/>
              </w:rPr>
            </w:pPr>
          </w:p>
        </w:tc>
        <w:tc>
          <w:tcPr>
            <w:tcW w:w="1380" w:type="dxa"/>
            <w:vAlign w:val="bottom"/>
          </w:tcPr>
          <w:p>
            <w:pPr>
              <w:jc w:val="right"/>
              <w:ind w:right="1302"/>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spacing w:after="0" w:line="103" w:lineRule="exact"/>
              <w:rPr>
                <w:sz w:val="20"/>
                <w:szCs w:val="20"/>
                <w:color w:val="auto"/>
              </w:rPr>
            </w:pPr>
            <w:r>
              <w:rPr>
                <w:rFonts w:ascii="Arial" w:cs="Arial" w:eastAsia="Arial" w:hAnsi="Arial"/>
                <w:sz w:val="10"/>
                <w:szCs w:val="10"/>
                <w:color w:val="auto"/>
              </w:rPr>
              <w:t>490.5</w:t>
            </w:r>
          </w:p>
        </w:tc>
        <w:tc>
          <w:tcPr>
            <w:tcW w:w="240" w:type="dxa"/>
            <w:vAlign w:val="bottom"/>
          </w:tcPr>
          <w:p>
            <w:pPr>
              <w:spacing w:after="0"/>
              <w:rPr>
                <w:sz w:val="8"/>
                <w:szCs w:val="8"/>
                <w:color w:val="auto"/>
              </w:rPr>
            </w:pPr>
          </w:p>
        </w:tc>
        <w:tc>
          <w:tcPr>
            <w:tcW w:w="1300" w:type="dxa"/>
            <w:vAlign w:val="bottom"/>
          </w:tcPr>
          <w:p>
            <w:pPr>
              <w:jc w:val="right"/>
              <w:ind w:right="1190"/>
              <w:spacing w:after="0" w:line="103" w:lineRule="exact"/>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line="103" w:lineRule="exact"/>
              <w:rPr>
                <w:sz w:val="20"/>
                <w:szCs w:val="20"/>
                <w:color w:val="auto"/>
              </w:rPr>
            </w:pPr>
            <w:r>
              <w:rPr>
                <w:rFonts w:ascii="Arial" w:cs="Arial" w:eastAsia="Arial" w:hAnsi="Arial"/>
                <w:sz w:val="10"/>
                <w:szCs w:val="10"/>
                <w:color w:val="auto"/>
              </w:rPr>
              <w:t>2.8</w:t>
            </w:r>
          </w:p>
        </w:tc>
        <w:tc>
          <w:tcPr>
            <w:tcW w:w="1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560" w:type="dxa"/>
            <w:vAlign w:val="bottom"/>
          </w:tcPr>
          <w:p>
            <w:pPr>
              <w:jc w:val="right"/>
              <w:ind w:right="1487"/>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20"/>
              <w:spacing w:after="0" w:line="103" w:lineRule="exact"/>
              <w:rPr>
                <w:sz w:val="20"/>
                <w:szCs w:val="20"/>
                <w:color w:val="auto"/>
              </w:rPr>
            </w:pPr>
            <w:r>
              <w:rPr>
                <w:rFonts w:ascii="Arial" w:cs="Arial" w:eastAsia="Arial" w:hAnsi="Arial"/>
                <w:sz w:val="10"/>
                <w:szCs w:val="10"/>
                <w:color w:val="auto"/>
              </w:rPr>
              <w:t>(4.8)</w:t>
            </w:r>
          </w:p>
        </w:tc>
        <w:tc>
          <w:tcPr>
            <w:tcW w:w="100" w:type="dxa"/>
            <w:vAlign w:val="bottom"/>
            <w:vMerge w:val="continue"/>
          </w:tcPr>
          <w:p>
            <w:pPr>
              <w:spacing w:after="0"/>
              <w:rPr>
                <w:sz w:val="8"/>
                <w:szCs w:val="8"/>
                <w:color w:val="auto"/>
              </w:rPr>
            </w:pPr>
          </w:p>
        </w:tc>
        <w:tc>
          <w:tcPr>
            <w:tcW w:w="260" w:type="dxa"/>
            <w:vAlign w:val="bottom"/>
          </w:tcPr>
          <w:p>
            <w:pPr>
              <w:jc w:val="right"/>
              <w:ind w:right="150"/>
              <w:spacing w:after="0" w:line="103" w:lineRule="exact"/>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03" w:lineRule="exact"/>
              <w:rPr>
                <w:sz w:val="20"/>
                <w:szCs w:val="20"/>
                <w:color w:val="auto"/>
              </w:rPr>
            </w:pPr>
            <w:r>
              <w:rPr>
                <w:rFonts w:ascii="Arial" w:cs="Arial" w:eastAsia="Arial" w:hAnsi="Arial"/>
                <w:sz w:val="10"/>
                <w:szCs w:val="10"/>
                <w:color w:val="auto"/>
              </w:rPr>
              <w:t>117.4</w:t>
            </w:r>
          </w:p>
        </w:tc>
        <w:tc>
          <w:tcPr>
            <w:tcW w:w="280" w:type="dxa"/>
            <w:vAlign w:val="bottom"/>
          </w:tcPr>
          <w:p>
            <w:pPr>
              <w:spacing w:after="0"/>
              <w:rPr>
                <w:sz w:val="8"/>
                <w:szCs w:val="8"/>
                <w:color w:val="auto"/>
              </w:rPr>
            </w:pPr>
          </w:p>
        </w:tc>
        <w:tc>
          <w:tcPr>
            <w:tcW w:w="300" w:type="dxa"/>
            <w:vAlign w:val="bottom"/>
          </w:tcPr>
          <w:p>
            <w:pPr>
              <w:jc w:val="right"/>
              <w:ind w:right="275"/>
              <w:spacing w:after="0"/>
              <w:rPr>
                <w:sz w:val="20"/>
                <w:szCs w:val="20"/>
                <w:color w:val="auto"/>
              </w:rPr>
            </w:pPr>
            <w:r>
              <w:rPr>
                <w:rFonts w:ascii="Arial" w:cs="Arial" w:eastAsia="Arial" w:hAnsi="Arial"/>
                <w:sz w:val="1"/>
                <w:szCs w:val="1"/>
                <w:color w:val="auto"/>
                <w:w w:val="4294967288"/>
              </w:rPr>
              <w:t>$</w:t>
            </w:r>
          </w:p>
        </w:tc>
        <w:tc>
          <w:tcPr>
            <w:tcW w:w="1560" w:type="dxa"/>
            <w:vAlign w:val="bottom"/>
          </w:tcPr>
          <w:p>
            <w:pPr>
              <w:jc w:val="right"/>
              <w:spacing w:after="0" w:line="103" w:lineRule="exact"/>
              <w:rPr>
                <w:sz w:val="20"/>
                <w:szCs w:val="20"/>
                <w:color w:val="auto"/>
              </w:rPr>
            </w:pPr>
            <w:r>
              <w:rPr>
                <w:rFonts w:ascii="Arial" w:cs="Arial" w:eastAsia="Arial" w:hAnsi="Arial"/>
                <w:sz w:val="10"/>
                <w:szCs w:val="10"/>
                <w:color w:val="auto"/>
              </w:rPr>
              <w:t>605.9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78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565" w:right="20" w:hanging="565"/>
        <w:spacing w:after="0" w:line="224" w:lineRule="auto"/>
        <w:tabs>
          <w:tab w:leader="none" w:pos="565" w:val="left"/>
        </w:tabs>
        <w:numPr>
          <w:ilvl w:val="0"/>
          <w:numId w:val="8"/>
        </w:numPr>
        <w:rPr>
          <w:rFonts w:ascii="Arial" w:cs="Arial" w:eastAsia="Arial" w:hAnsi="Arial"/>
          <w:sz w:val="10"/>
          <w:szCs w:val="10"/>
          <w:color w:val="auto"/>
        </w:rPr>
      </w:pPr>
      <w:r>
        <w:rPr>
          <w:rFonts w:ascii="Arial" w:cs="Arial" w:eastAsia="Arial" w:hAnsi="Arial"/>
          <w:sz w:val="10"/>
          <w:szCs w:val="10"/>
          <w:color w:val="auto"/>
        </w:rPr>
        <w:t>As of March 31, 2019, $24.3 million of unamortized excess fair value over the T2 LaSalle and T2 Eagle Ford capital accounts remained. These basis differences, which are attributable to the underlying depreciable tangible gathering assets, are being amortized on a straight-line basis as components of equity earnings over the estimated 20-year useful lives of the underlying assets.</w:t>
      </w:r>
    </w:p>
    <w:p>
      <w:pPr>
        <w:ind w:left="565" w:hanging="565"/>
        <w:spacing w:after="0"/>
        <w:tabs>
          <w:tab w:leader="none" w:pos="565" w:val="left"/>
        </w:tabs>
        <w:numPr>
          <w:ilvl w:val="0"/>
          <w:numId w:val="8"/>
        </w:numPr>
        <w:rPr>
          <w:rFonts w:ascii="Arial" w:cs="Arial" w:eastAsia="Arial" w:hAnsi="Arial"/>
          <w:sz w:val="10"/>
          <w:szCs w:val="10"/>
          <w:color w:val="auto"/>
        </w:rPr>
      </w:pPr>
      <w:r>
        <w:rPr>
          <w:rFonts w:ascii="Arial" w:cs="Arial" w:eastAsia="Arial" w:hAnsi="Arial"/>
          <w:sz w:val="10"/>
          <w:szCs w:val="10"/>
          <w:color w:val="auto"/>
        </w:rPr>
        <w:t>Our 25% interest in GCX is owned by Targa GCX Pipeline LLC (“GCX DevCo JV”), of which we own a 20% interest. GCX DevCo JV is accounted for on a consolidated basis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121285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12850" cy="5715"/>
                    </a:xfrm>
                    <a:prstGeom prst="rect">
                      <a:avLst/>
                    </a:prstGeom>
                    <a:noFill/>
                  </pic:spPr>
                </pic:pic>
              </a:graphicData>
            </a:graphic>
          </wp:anchor>
        </w:drawing>
      </w:r>
    </w:p>
    <w:p>
      <w:pPr>
        <w:spacing w:after="0" w:line="83"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Note 8 — Accounts Payable and Accrued Liabilities</w:t>
      </w:r>
    </w:p>
    <w:p>
      <w:pPr>
        <w:spacing w:after="0" w:line="206"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47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60" w:type="dxa"/>
            <w:vAlign w:val="bottom"/>
          </w:tcPr>
          <w:p>
            <w:pPr>
              <w:jc w:val="right"/>
              <w:ind w:right="50"/>
              <w:spacing w:after="0"/>
              <w:rPr>
                <w:sz w:val="20"/>
                <w:szCs w:val="20"/>
                <w:color w:val="auto"/>
              </w:rPr>
            </w:pPr>
            <w:r>
              <w:rPr>
                <w:rFonts w:ascii="Arial" w:cs="Arial" w:eastAsia="Arial" w:hAnsi="Arial"/>
                <w:sz w:val="10"/>
                <w:szCs w:val="10"/>
                <w:b w:val="1"/>
                <w:bCs w:val="1"/>
                <w:color w:val="auto"/>
              </w:rPr>
              <w:t>March 31, 2019</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 2018</w:t>
            </w:r>
          </w:p>
        </w:tc>
      </w:tr>
      <w:tr>
        <w:trPr>
          <w:trHeight w:val="102"/>
        </w:trPr>
        <w:tc>
          <w:tcPr>
            <w:tcW w:w="478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Commodities</w:t>
            </w:r>
          </w:p>
        </w:tc>
        <w:tc>
          <w:tcPr>
            <w:tcW w:w="2940" w:type="dxa"/>
            <w:vAlign w:val="bottom"/>
            <w:tcBorders>
              <w:top w:val="single" w:sz="8" w:color="CFF0FC"/>
            </w:tcBorders>
            <w:shd w:val="clear" w:color="auto" w:fill="CFF0FC"/>
          </w:tcPr>
          <w:p>
            <w:pPr>
              <w:spacing w:after="0"/>
              <w:rPr>
                <w:sz w:val="8"/>
                <w:szCs w:val="8"/>
                <w:color w:val="auto"/>
              </w:rPr>
            </w:pPr>
          </w:p>
        </w:tc>
        <w:tc>
          <w:tcPr>
            <w:tcW w:w="1260" w:type="dxa"/>
            <w:vAlign w:val="bottom"/>
            <w:tcBorders>
              <w:top w:val="single" w:sz="8" w:color="auto"/>
            </w:tcBorders>
            <w:shd w:val="clear" w:color="auto" w:fill="CFF0FC"/>
          </w:tcPr>
          <w:p>
            <w:pPr>
              <w:jc w:val="right"/>
              <w:ind w:right="1150"/>
              <w:spacing w:after="0" w:line="103"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779.3</w:t>
            </w:r>
          </w:p>
        </w:tc>
        <w:tc>
          <w:tcPr>
            <w:tcW w:w="32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jc w:val="right"/>
              <w:ind w:right="130"/>
              <w:spacing w:after="0" w:line="103" w:lineRule="exact"/>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721.9</w:t>
            </w:r>
          </w:p>
        </w:tc>
        <w:tc>
          <w:tcPr>
            <w:tcW w:w="120" w:type="dxa"/>
            <w:vAlign w:val="bottom"/>
            <w:tcBorders>
              <w:top w:val="single" w:sz="8" w:color="CFF0FC"/>
            </w:tcBorders>
            <w:shd w:val="clear" w:color="auto" w:fill="CFF0FC"/>
          </w:tcPr>
          <w:p>
            <w:pPr>
              <w:spacing w:after="0"/>
              <w:rPr>
                <w:sz w:val="8"/>
                <w:szCs w:val="8"/>
                <w:color w:val="auto"/>
              </w:rPr>
            </w:pPr>
          </w:p>
        </w:tc>
      </w:tr>
      <w:tr>
        <w:trPr>
          <w:trHeight w:val="113"/>
        </w:trPr>
        <w:tc>
          <w:tcPr>
            <w:tcW w:w="4780" w:type="dxa"/>
            <w:vAlign w:val="bottom"/>
          </w:tcPr>
          <w:p>
            <w:pPr>
              <w:spacing w:after="0" w:line="113" w:lineRule="exact"/>
              <w:rPr>
                <w:sz w:val="20"/>
                <w:szCs w:val="20"/>
                <w:color w:val="auto"/>
              </w:rPr>
            </w:pPr>
            <w:r>
              <w:rPr>
                <w:rFonts w:ascii="Arial" w:cs="Arial" w:eastAsia="Arial" w:hAnsi="Arial"/>
                <w:sz w:val="10"/>
                <w:szCs w:val="10"/>
                <w:color w:val="auto"/>
              </w:rPr>
              <w:t>Other goods and services</w:t>
            </w:r>
          </w:p>
        </w:tc>
        <w:tc>
          <w:tcPr>
            <w:tcW w:w="2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Arial" w:cs="Arial" w:eastAsia="Arial" w:hAnsi="Arial"/>
                <w:sz w:val="10"/>
                <w:szCs w:val="10"/>
                <w:color w:val="auto"/>
              </w:rPr>
              <w:t>379.4</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jc w:val="right"/>
              <w:spacing w:after="0" w:line="113" w:lineRule="exact"/>
              <w:rPr>
                <w:sz w:val="20"/>
                <w:szCs w:val="20"/>
                <w:color w:val="auto"/>
              </w:rPr>
            </w:pPr>
            <w:r>
              <w:rPr>
                <w:rFonts w:ascii="Arial" w:cs="Arial" w:eastAsia="Arial" w:hAnsi="Arial"/>
                <w:sz w:val="10"/>
                <w:szCs w:val="10"/>
                <w:color w:val="auto"/>
              </w:rPr>
              <w:t>474.5</w:t>
            </w:r>
          </w:p>
        </w:tc>
        <w:tc>
          <w:tcPr>
            <w:tcW w:w="120" w:type="dxa"/>
            <w:vAlign w:val="bottom"/>
          </w:tcPr>
          <w:p>
            <w:pPr>
              <w:spacing w:after="0"/>
              <w:rPr>
                <w:sz w:val="9"/>
                <w:szCs w:val="9"/>
                <w:color w:val="auto"/>
              </w:rPr>
            </w:pPr>
          </w:p>
        </w:tc>
      </w:tr>
      <w:tr>
        <w:trPr>
          <w:trHeight w:val="113"/>
        </w:trPr>
        <w:tc>
          <w:tcPr>
            <w:tcW w:w="47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Interest</w:t>
            </w:r>
          </w:p>
        </w:tc>
        <w:tc>
          <w:tcPr>
            <w:tcW w:w="29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91.0</w:t>
            </w: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79.4</w:t>
            </w:r>
          </w:p>
        </w:tc>
        <w:tc>
          <w:tcPr>
            <w:tcW w:w="120" w:type="dxa"/>
            <w:vAlign w:val="bottom"/>
            <w:shd w:val="clear" w:color="auto" w:fill="CFF0FC"/>
          </w:tcPr>
          <w:p>
            <w:pPr>
              <w:spacing w:after="0"/>
              <w:rPr>
                <w:sz w:val="9"/>
                <w:szCs w:val="9"/>
                <w:color w:val="auto"/>
              </w:rPr>
            </w:pPr>
          </w:p>
        </w:tc>
      </w:tr>
      <w:tr>
        <w:trPr>
          <w:trHeight w:val="113"/>
        </w:trPr>
        <w:tc>
          <w:tcPr>
            <w:tcW w:w="4780" w:type="dxa"/>
            <w:vAlign w:val="bottom"/>
          </w:tcPr>
          <w:p>
            <w:pPr>
              <w:spacing w:after="0" w:line="113" w:lineRule="exact"/>
              <w:rPr>
                <w:sz w:val="20"/>
                <w:szCs w:val="20"/>
                <w:color w:val="auto"/>
              </w:rPr>
            </w:pPr>
            <w:r>
              <w:rPr>
                <w:rFonts w:ascii="Arial" w:cs="Arial" w:eastAsia="Arial" w:hAnsi="Arial"/>
                <w:sz w:val="10"/>
                <w:szCs w:val="10"/>
                <w:color w:val="auto"/>
              </w:rPr>
              <w:t>Permian Acquisition contingent consideration</w:t>
            </w:r>
          </w:p>
        </w:tc>
        <w:tc>
          <w:tcPr>
            <w:tcW w:w="2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Arial" w:cs="Arial" w:eastAsia="Arial" w:hAnsi="Arial"/>
                <w:sz w:val="10"/>
                <w:szCs w:val="10"/>
                <w:color w:val="auto"/>
              </w:rPr>
              <w:t>317.9</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jc w:val="right"/>
              <w:spacing w:after="0" w:line="113" w:lineRule="exact"/>
              <w:rPr>
                <w:sz w:val="20"/>
                <w:szCs w:val="20"/>
                <w:color w:val="auto"/>
              </w:rPr>
            </w:pPr>
            <w:r>
              <w:rPr>
                <w:rFonts w:ascii="Arial" w:cs="Arial" w:eastAsia="Arial" w:hAnsi="Arial"/>
                <w:sz w:val="10"/>
                <w:szCs w:val="10"/>
                <w:color w:val="auto"/>
              </w:rPr>
              <w:t>308.2</w:t>
            </w:r>
          </w:p>
        </w:tc>
        <w:tc>
          <w:tcPr>
            <w:tcW w:w="120" w:type="dxa"/>
            <w:vAlign w:val="bottom"/>
          </w:tcPr>
          <w:p>
            <w:pPr>
              <w:spacing w:after="0"/>
              <w:rPr>
                <w:sz w:val="9"/>
                <w:szCs w:val="9"/>
                <w:color w:val="auto"/>
              </w:rPr>
            </w:pPr>
          </w:p>
        </w:tc>
      </w:tr>
      <w:tr>
        <w:trPr>
          <w:trHeight w:val="113"/>
        </w:trPr>
        <w:tc>
          <w:tcPr>
            <w:tcW w:w="47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Income and other taxes</w:t>
            </w:r>
          </w:p>
        </w:tc>
        <w:tc>
          <w:tcPr>
            <w:tcW w:w="29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40.4</w:t>
            </w:r>
          </w:p>
        </w:tc>
        <w:tc>
          <w:tcPr>
            <w:tcW w:w="3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45.4</w:t>
            </w:r>
          </w:p>
        </w:tc>
        <w:tc>
          <w:tcPr>
            <w:tcW w:w="120" w:type="dxa"/>
            <w:vAlign w:val="bottom"/>
            <w:shd w:val="clear" w:color="auto" w:fill="CFF0FC"/>
          </w:tcPr>
          <w:p>
            <w:pPr>
              <w:spacing w:after="0"/>
              <w:rPr>
                <w:sz w:val="9"/>
                <w:szCs w:val="9"/>
                <w:color w:val="auto"/>
              </w:rPr>
            </w:pPr>
          </w:p>
        </w:tc>
      </w:tr>
      <w:tr>
        <w:trPr>
          <w:trHeight w:val="113"/>
        </w:trPr>
        <w:tc>
          <w:tcPr>
            <w:tcW w:w="4780" w:type="dxa"/>
            <w:vAlign w:val="bottom"/>
            <w:tcBorders>
              <w:bottom w:val="single" w:sz="8" w:color="CFF0FC"/>
            </w:tcBorders>
          </w:tcPr>
          <w:p>
            <w:pPr>
              <w:spacing w:after="0" w:line="113" w:lineRule="exact"/>
              <w:rPr>
                <w:sz w:val="20"/>
                <w:szCs w:val="20"/>
                <w:color w:val="auto"/>
              </w:rPr>
            </w:pPr>
            <w:r>
              <w:rPr>
                <w:rFonts w:ascii="Arial" w:cs="Arial" w:eastAsia="Arial" w:hAnsi="Arial"/>
                <w:sz w:val="10"/>
                <w:szCs w:val="10"/>
                <w:color w:val="auto"/>
              </w:rPr>
              <w:t>Other</w:t>
            </w:r>
          </w:p>
        </w:tc>
        <w:tc>
          <w:tcPr>
            <w:tcW w:w="2940" w:type="dxa"/>
            <w:vAlign w:val="bottom"/>
            <w:tcBorders>
              <w:bottom w:val="single" w:sz="8" w:color="CFF0FC"/>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11.4</w:t>
            </w:r>
          </w:p>
        </w:tc>
        <w:tc>
          <w:tcPr>
            <w:tcW w:w="32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7.5</w:t>
            </w:r>
          </w:p>
        </w:tc>
        <w:tc>
          <w:tcPr>
            <w:tcW w:w="120" w:type="dxa"/>
            <w:vAlign w:val="bottom"/>
            <w:tcBorders>
              <w:bottom w:val="single" w:sz="8" w:color="CFF0FC"/>
            </w:tcBorders>
          </w:tcPr>
          <w:p>
            <w:pPr>
              <w:spacing w:after="0"/>
              <w:rPr>
                <w:sz w:val="9"/>
                <w:szCs w:val="9"/>
                <w:color w:val="auto"/>
              </w:rPr>
            </w:pPr>
          </w:p>
        </w:tc>
      </w:tr>
      <w:tr>
        <w:trPr>
          <w:trHeight w:val="111"/>
        </w:trPr>
        <w:tc>
          <w:tcPr>
            <w:tcW w:w="4780" w:type="dxa"/>
            <w:vAlign w:val="bottom"/>
            <w:tcBorders>
              <w:bottom w:val="single" w:sz="8" w:color="CFF0FC"/>
            </w:tcBorders>
            <w:shd w:val="clear" w:color="auto" w:fill="CFF0FC"/>
          </w:tcPr>
          <w:p>
            <w:pPr>
              <w:spacing w:after="0"/>
              <w:rPr>
                <w:sz w:val="9"/>
                <w:szCs w:val="9"/>
                <w:color w:val="auto"/>
              </w:rPr>
            </w:pPr>
          </w:p>
        </w:tc>
        <w:tc>
          <w:tcPr>
            <w:tcW w:w="2940" w:type="dxa"/>
            <w:vAlign w:val="bottom"/>
            <w:tcBorders>
              <w:bottom w:val="single" w:sz="8" w:color="CFF0FC"/>
            </w:tcBorders>
            <w:shd w:val="clear" w:color="auto" w:fill="CFF0FC"/>
          </w:tcPr>
          <w:p>
            <w:pPr>
              <w:spacing w:after="0"/>
              <w:rPr>
                <w:sz w:val="9"/>
                <w:szCs w:val="9"/>
                <w:color w:val="auto"/>
              </w:rPr>
            </w:pPr>
          </w:p>
        </w:tc>
        <w:tc>
          <w:tcPr>
            <w:tcW w:w="1260" w:type="dxa"/>
            <w:vAlign w:val="bottom"/>
            <w:tcBorders>
              <w:bottom w:val="single" w:sz="8" w:color="auto"/>
            </w:tcBorders>
            <w:shd w:val="clear" w:color="auto" w:fill="CFF0FC"/>
          </w:tcPr>
          <w:p>
            <w:pPr>
              <w:jc w:val="right"/>
              <w:ind w:right="1150"/>
              <w:spacing w:after="0" w:line="103" w:lineRule="exact"/>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1,619.4</w:t>
            </w:r>
          </w:p>
        </w:tc>
        <w:tc>
          <w:tcPr>
            <w:tcW w:w="32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jc w:val="right"/>
              <w:ind w:right="130"/>
              <w:spacing w:after="0" w:line="103" w:lineRule="exact"/>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1,636.9</w:t>
            </w:r>
          </w:p>
        </w:tc>
        <w:tc>
          <w:tcPr>
            <w:tcW w:w="120" w:type="dxa"/>
            <w:vAlign w:val="bottom"/>
            <w:tcBorders>
              <w:bottom w:val="single" w:sz="8" w:color="CFF0FC"/>
            </w:tcBorders>
            <w:shd w:val="clear" w:color="auto" w:fill="CFF0FC"/>
          </w:tcPr>
          <w:p>
            <w:pPr>
              <w:spacing w:after="0"/>
              <w:rPr>
                <w:sz w:val="9"/>
                <w:szCs w:val="9"/>
                <w:color w:val="auto"/>
              </w:rPr>
            </w:pPr>
          </w:p>
        </w:tc>
      </w:tr>
    </w:tbl>
    <w:p>
      <w:pPr>
        <w:spacing w:after="0" w:line="142" w:lineRule="exact"/>
        <w:rPr>
          <w:sz w:val="20"/>
          <w:szCs w:val="20"/>
          <w:color w:val="auto"/>
        </w:rPr>
      </w:pPr>
    </w:p>
    <w:p>
      <w:pPr>
        <w:ind w:left="5"/>
        <w:spacing w:after="0"/>
        <w:rPr>
          <w:sz w:val="20"/>
          <w:szCs w:val="20"/>
          <w:color w:val="auto"/>
        </w:rPr>
      </w:pPr>
      <w:r>
        <w:rPr>
          <w:rFonts w:ascii="Arial" w:cs="Arial" w:eastAsia="Arial" w:hAnsi="Arial"/>
          <w:sz w:val="11"/>
          <w:szCs w:val="11"/>
          <w:color w:val="auto"/>
        </w:rPr>
        <w:t>Accounts payable and accrued liabilities includes $28.9 million and $52.2 million of liabilities to creditors to whom we have issued checks that remained outstanding as of March 31, 2019 and December 31, 2018.</w:t>
      </w:r>
    </w:p>
    <w:p>
      <w:pPr>
        <w:spacing w:after="0" w:line="175"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32536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277" w:right="19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i w:val="1"/>
          <w:iCs w:val="1"/>
          <w:color w:val="auto"/>
        </w:rPr>
        <w:t>Permian Acquisition Contingent Consideration</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As a result of a 2017 acquisition of certain gas gathering and processing and crude gathering assets in the Permian Basin (the “Permian Acquisition”), we have included the related contingent consideration in accounts payable and accrued liabilities as of March 31, 2019, and December 31, 2018. The Permian Acquisition contingent consideration represents the second earn-out payment, which will be paid in May 2019, and is derived on a multiple of realized gross margin during the earn-out period from contracts that existed on March 1, 2017, in accordance with the terms of the purchase and sale agreements. The first potential earn-out payment would have occurred in May 2018 and expired with no required payment.</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Changes in the value of the contingent consideration liability have been included in Other income (expense). For the period from December 31, 2018 to March 31, 2019, the value of the contingent consideration increased by $9.7 million, primarily attributable to the elimination of discounting and an increase in actual gross margin through the end of the earn-out period. During the three months ended March 31, 2018, we recognized $56.0 million of expense in Other income (expense) related to the change in fair value of the contingent consideration.</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See Note 14 – Fair Value Measurements for additional discussion of the fair value methodology.</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 — Debt Obligations</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18"/>
        </w:trPr>
        <w:tc>
          <w:tcPr>
            <w:tcW w:w="6140" w:type="dxa"/>
            <w:vAlign w:val="bottom"/>
            <w:vMerge w:val="restart"/>
          </w:tcPr>
          <w:p>
            <w:pPr>
              <w:spacing w:after="0"/>
              <w:rPr>
                <w:sz w:val="20"/>
                <w:szCs w:val="20"/>
                <w:color w:val="auto"/>
              </w:rPr>
            </w:pPr>
            <w:r>
              <w:rPr>
                <w:rFonts w:ascii="Arial" w:cs="Arial" w:eastAsia="Arial" w:hAnsi="Arial"/>
                <w:sz w:val="10"/>
                <w:szCs w:val="10"/>
                <w:b w:val="1"/>
                <w:bCs w:val="1"/>
                <w:color w:val="auto"/>
              </w:rPr>
              <w:t>Current:</w:t>
            </w:r>
          </w:p>
        </w:tc>
        <w:tc>
          <w:tcPr>
            <w:tcW w:w="320" w:type="dxa"/>
            <w:vAlign w:val="bottom"/>
          </w:tcPr>
          <w:p>
            <w:pPr>
              <w:spacing w:after="0"/>
              <w:rPr>
                <w:sz w:val="10"/>
                <w:szCs w:val="10"/>
                <w:color w:val="auto"/>
              </w:rPr>
            </w:pPr>
          </w:p>
        </w:tc>
        <w:tc>
          <w:tcPr>
            <w:tcW w:w="1880" w:type="dxa"/>
            <w:vAlign w:val="bottom"/>
            <w:gridSpan w:val="2"/>
          </w:tcPr>
          <w:p>
            <w:pPr>
              <w:jc w:val="right"/>
              <w:ind w:right="940"/>
              <w:spacing w:after="0"/>
              <w:rPr>
                <w:sz w:val="20"/>
                <w:szCs w:val="20"/>
                <w:color w:val="auto"/>
              </w:rPr>
            </w:pPr>
            <w:r>
              <w:rPr>
                <w:rFonts w:ascii="Arial" w:cs="Arial" w:eastAsia="Arial" w:hAnsi="Arial"/>
                <w:sz w:val="10"/>
                <w:szCs w:val="10"/>
                <w:b w:val="1"/>
                <w:bCs w:val="1"/>
                <w:color w:val="auto"/>
              </w:rPr>
              <w:t>March 31, 2019</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102"/>
        </w:trPr>
        <w:tc>
          <w:tcPr>
            <w:tcW w:w="6140" w:type="dxa"/>
            <w:vAlign w:val="bottom"/>
            <w:vMerge w:val="continue"/>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140" w:type="dxa"/>
            <w:vAlign w:val="bottom"/>
            <w:shd w:val="clear" w:color="auto" w:fill="CFF0FC"/>
          </w:tcPr>
          <w:p>
            <w:pPr>
              <w:ind w:left="180"/>
              <w:spacing w:after="0" w:line="113" w:lineRule="exact"/>
              <w:rPr>
                <w:sz w:val="20"/>
                <w:szCs w:val="20"/>
                <w:color w:val="auto"/>
              </w:rPr>
            </w:pPr>
            <w:r>
              <w:rPr>
                <w:rFonts w:ascii="Arial" w:cs="Arial" w:eastAsia="Arial" w:hAnsi="Arial"/>
                <w:sz w:val="10"/>
                <w:szCs w:val="10"/>
                <w:color w:val="auto"/>
              </w:rPr>
              <w:t>Accounts receivable securitization facility, due December 2019 (1)</w:t>
            </w:r>
          </w:p>
        </w:tc>
        <w:tc>
          <w:tcPr>
            <w:tcW w:w="320" w:type="dxa"/>
            <w:vAlign w:val="bottom"/>
            <w:shd w:val="clear" w:color="auto" w:fill="CFF0FC"/>
          </w:tcPr>
          <w:p>
            <w:pPr>
              <w:jc w:val="right"/>
              <w:ind w:right="255"/>
              <w:spacing w:after="0"/>
              <w:rPr>
                <w:sz w:val="20"/>
                <w:szCs w:val="20"/>
                <w:color w:val="auto"/>
              </w:rPr>
            </w:pPr>
            <w:r>
              <w:rPr>
                <w:rFonts w:ascii="Arial" w:cs="Arial" w:eastAsia="Arial" w:hAnsi="Arial"/>
                <w:sz w:val="5"/>
                <w:szCs w:val="5"/>
                <w:color w:val="auto"/>
                <w:w w:val="70"/>
              </w:rPr>
              <w:t>$</w:t>
            </w: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307.6</w:t>
            </w:r>
          </w:p>
        </w:tc>
        <w:tc>
          <w:tcPr>
            <w:tcW w:w="320" w:type="dxa"/>
            <w:vAlign w:val="bottom"/>
            <w:shd w:val="clear" w:color="auto" w:fill="CFF0FC"/>
          </w:tcPr>
          <w:p>
            <w:pPr>
              <w:spacing w:after="0"/>
              <w:rPr>
                <w:sz w:val="9"/>
                <w:szCs w:val="9"/>
                <w:color w:val="auto"/>
              </w:rPr>
            </w:pPr>
          </w:p>
        </w:tc>
        <w:tc>
          <w:tcPr>
            <w:tcW w:w="300" w:type="dxa"/>
            <w:vAlign w:val="bottom"/>
            <w:gridSpan w:val="2"/>
            <w:shd w:val="clear" w:color="auto" w:fill="CFF0FC"/>
          </w:tcPr>
          <w:p>
            <w:pPr>
              <w:jc w:val="right"/>
              <w:ind w:right="215"/>
              <w:spacing w:after="0" w:line="113" w:lineRule="exact"/>
              <w:rPr>
                <w:sz w:val="20"/>
                <w:szCs w:val="20"/>
                <w:color w:val="auto"/>
              </w:rPr>
            </w:pPr>
            <w:r>
              <w:rPr>
                <w:rFonts w:ascii="Arial" w:cs="Arial" w:eastAsia="Arial" w:hAnsi="Arial"/>
                <w:sz w:val="10"/>
                <w:szCs w:val="10"/>
                <w:color w:val="auto"/>
                <w:w w:val="71"/>
              </w:rPr>
              <w:t>$</w:t>
            </w:r>
          </w:p>
        </w:tc>
        <w:tc>
          <w:tcPr>
            <w:tcW w:w="1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280.0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tcPr>
          <w:p>
            <w:pPr>
              <w:ind w:left="180"/>
              <w:spacing w:after="0" w:line="113" w:lineRule="exact"/>
              <w:rPr>
                <w:sz w:val="20"/>
                <w:szCs w:val="20"/>
                <w:color w:val="auto"/>
              </w:rPr>
            </w:pPr>
            <w:r>
              <w:rPr>
                <w:rFonts w:ascii="Arial" w:cs="Arial" w:eastAsia="Arial" w:hAnsi="Arial"/>
                <w:sz w:val="10"/>
                <w:szCs w:val="10"/>
                <w:color w:val="auto"/>
              </w:rPr>
              <w:t>Senior unsecured notes, 4⅛% fixed rate, due November 2019</w:t>
            </w:r>
          </w:p>
        </w:tc>
        <w:tc>
          <w:tcPr>
            <w:tcW w:w="320" w:type="dxa"/>
            <w:vAlign w:val="bottom"/>
          </w:tcPr>
          <w:p>
            <w:pPr>
              <w:spacing w:after="0"/>
              <w:rPr>
                <w:sz w:val="9"/>
                <w:szCs w:val="9"/>
                <w:color w:val="auto"/>
              </w:rPr>
            </w:pPr>
          </w:p>
        </w:tc>
        <w:tc>
          <w:tcPr>
            <w:tcW w:w="1880" w:type="dxa"/>
            <w:vAlign w:val="bottom"/>
            <w:gridSpan w:val="2"/>
          </w:tcPr>
          <w:p>
            <w:pPr>
              <w:jc w:val="right"/>
              <w:ind w:right="340"/>
              <w:spacing w:after="0" w:line="113"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jc w:val="right"/>
              <w:spacing w:after="0" w:line="113" w:lineRule="exact"/>
              <w:rPr>
                <w:sz w:val="20"/>
                <w:szCs w:val="20"/>
                <w:color w:val="auto"/>
              </w:rPr>
            </w:pPr>
            <w:r>
              <w:rPr>
                <w:rFonts w:ascii="Arial" w:cs="Arial" w:eastAsia="Arial" w:hAnsi="Arial"/>
                <w:sz w:val="10"/>
                <w:szCs w:val="10"/>
                <w:color w:val="auto"/>
              </w:rPr>
              <w:t>749.4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140" w:type="dxa"/>
            <w:vAlign w:val="bottom"/>
            <w:tcBorders>
              <w:top w:val="single" w:sz="8" w:color="CFF0FC"/>
            </w:tcBorders>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15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307.6</w:t>
            </w:r>
          </w:p>
        </w:tc>
        <w:tc>
          <w:tcPr>
            <w:tcW w:w="32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spacing w:after="0"/>
              <w:rPr>
                <w:sz w:val="8"/>
                <w:szCs w:val="8"/>
                <w:color w:val="auto"/>
              </w:rPr>
            </w:pPr>
          </w:p>
        </w:tc>
        <w:tc>
          <w:tcPr>
            <w:tcW w:w="160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1,029.4</w:t>
            </w:r>
          </w:p>
        </w:tc>
        <w:tc>
          <w:tcPr>
            <w:tcW w:w="10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140" w:type="dxa"/>
            <w:vAlign w:val="bottom"/>
          </w:tcPr>
          <w:p>
            <w:pPr>
              <w:ind w:left="180"/>
              <w:spacing w:after="0" w:line="113" w:lineRule="exact"/>
              <w:rPr>
                <w:sz w:val="20"/>
                <w:szCs w:val="20"/>
                <w:color w:val="auto"/>
              </w:rPr>
            </w:pPr>
            <w:r>
              <w:rPr>
                <w:rFonts w:ascii="Arial" w:cs="Arial" w:eastAsia="Arial" w:hAnsi="Arial"/>
                <w:sz w:val="10"/>
                <w:szCs w:val="10"/>
                <w:color w:val="auto"/>
              </w:rPr>
              <w:t>Debt issuance costs, net of amortization</w:t>
            </w:r>
          </w:p>
        </w:tc>
        <w:tc>
          <w:tcPr>
            <w:tcW w:w="320" w:type="dxa"/>
            <w:vAlign w:val="bottom"/>
          </w:tcPr>
          <w:p>
            <w:pPr>
              <w:spacing w:after="0"/>
              <w:rPr>
                <w:sz w:val="9"/>
                <w:szCs w:val="9"/>
                <w:color w:val="auto"/>
              </w:rPr>
            </w:pPr>
          </w:p>
        </w:tc>
        <w:tc>
          <w:tcPr>
            <w:tcW w:w="1880" w:type="dxa"/>
            <w:vAlign w:val="bottom"/>
            <w:gridSpan w:val="2"/>
          </w:tcPr>
          <w:p>
            <w:pPr>
              <w:jc w:val="right"/>
              <w:ind w:right="340"/>
              <w:spacing w:after="0" w:line="113"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13"/>
        </w:trPr>
        <w:tc>
          <w:tcPr>
            <w:tcW w:w="6140" w:type="dxa"/>
            <w:vAlign w:val="bottom"/>
            <w:shd w:val="clear" w:color="auto" w:fill="CFF0FC"/>
          </w:tcPr>
          <w:p>
            <w:pPr>
              <w:ind w:left="180"/>
              <w:spacing w:after="0" w:line="113" w:lineRule="exact"/>
              <w:rPr>
                <w:sz w:val="20"/>
                <w:szCs w:val="20"/>
                <w:color w:val="auto"/>
              </w:rPr>
            </w:pPr>
            <w:r>
              <w:rPr>
                <w:rFonts w:ascii="Arial" w:cs="Arial" w:eastAsia="Arial" w:hAnsi="Arial"/>
                <w:sz w:val="10"/>
                <w:szCs w:val="10"/>
                <w:color w:val="auto"/>
              </w:rPr>
              <w:t>Finance lease liabilities</w:t>
            </w:r>
          </w:p>
        </w:tc>
        <w:tc>
          <w:tcPr>
            <w:tcW w:w="3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10.5</w:t>
            </w:r>
          </w:p>
        </w:tc>
        <w:tc>
          <w:tcPr>
            <w:tcW w:w="3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70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2"/>
        </w:trPr>
        <w:tc>
          <w:tcPr>
            <w:tcW w:w="6140" w:type="dxa"/>
            <w:vAlign w:val="bottom"/>
          </w:tcPr>
          <w:p>
            <w:pPr>
              <w:ind w:left="360"/>
              <w:spacing w:after="0" w:line="103" w:lineRule="exact"/>
              <w:rPr>
                <w:sz w:val="20"/>
                <w:szCs w:val="20"/>
                <w:color w:val="auto"/>
              </w:rPr>
            </w:pPr>
            <w:r>
              <w:rPr>
                <w:rFonts w:ascii="Arial" w:cs="Arial" w:eastAsia="Arial" w:hAnsi="Arial"/>
                <w:sz w:val="10"/>
                <w:szCs w:val="10"/>
                <w:color w:val="auto"/>
              </w:rPr>
              <w:t>Current debt obligations</w:t>
            </w:r>
          </w:p>
        </w:tc>
        <w:tc>
          <w:tcPr>
            <w:tcW w:w="320" w:type="dxa"/>
            <w:vAlign w:val="bottom"/>
            <w:tcBorders>
              <w:top w:val="single" w:sz="8" w:color="auto"/>
            </w:tcBorders>
          </w:tcPr>
          <w:p>
            <w:pPr>
              <w:spacing w:after="0"/>
              <w:rPr>
                <w:sz w:val="8"/>
                <w:szCs w:val="8"/>
                <w:color w:val="auto"/>
              </w:rPr>
            </w:pPr>
          </w:p>
        </w:tc>
        <w:tc>
          <w:tcPr>
            <w:tcW w:w="156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318.1</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60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1,027.9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1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tcPr>
          <w:p>
            <w:pPr>
              <w:spacing w:after="0" w:line="113" w:lineRule="exact"/>
              <w:rPr>
                <w:sz w:val="20"/>
                <w:szCs w:val="20"/>
                <w:color w:val="auto"/>
              </w:rPr>
            </w:pPr>
            <w:r>
              <w:rPr>
                <w:rFonts w:ascii="Arial" w:cs="Arial" w:eastAsia="Arial" w:hAnsi="Arial"/>
                <w:sz w:val="10"/>
                <w:szCs w:val="10"/>
                <w:b w:val="1"/>
                <w:bCs w:val="1"/>
                <w:color w:val="auto"/>
              </w:rPr>
              <w:t>Long-term:</w:t>
            </w: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shd w:val="clear" w:color="auto" w:fill="CFF0FC"/>
          </w:tcPr>
          <w:p>
            <w:pPr>
              <w:ind w:left="180"/>
              <w:spacing w:after="0" w:line="113" w:lineRule="exact"/>
              <w:rPr>
                <w:sz w:val="20"/>
                <w:szCs w:val="20"/>
                <w:color w:val="auto"/>
              </w:rPr>
            </w:pPr>
            <w:r>
              <w:rPr>
                <w:rFonts w:ascii="Arial" w:cs="Arial" w:eastAsia="Arial" w:hAnsi="Arial"/>
                <w:sz w:val="10"/>
                <w:szCs w:val="10"/>
                <w:color w:val="auto"/>
              </w:rPr>
              <w:t>Senior secured revolving credit facility, variable rate, due June 2023 (2)</w:t>
            </w:r>
          </w:p>
        </w:tc>
        <w:tc>
          <w:tcPr>
            <w:tcW w:w="3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670.0</w:t>
            </w:r>
          </w:p>
        </w:tc>
        <w:tc>
          <w:tcPr>
            <w:tcW w:w="3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tcPr>
          <w:p>
            <w:pPr>
              <w:ind w:left="180"/>
              <w:spacing w:after="0" w:line="113" w:lineRule="exact"/>
              <w:rPr>
                <w:sz w:val="20"/>
                <w:szCs w:val="20"/>
                <w:color w:val="auto"/>
              </w:rPr>
            </w:pPr>
            <w:r>
              <w:rPr>
                <w:rFonts w:ascii="Arial" w:cs="Arial" w:eastAsia="Arial" w:hAnsi="Arial"/>
                <w:sz w:val="10"/>
                <w:szCs w:val="10"/>
                <w:color w:val="auto"/>
              </w:rPr>
              <w:t>Senior unsecured notes:</w:t>
            </w: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shd w:val="clear" w:color="auto" w:fill="CFF0FC"/>
          </w:tcPr>
          <w:p>
            <w:pPr>
              <w:ind w:left="260"/>
              <w:spacing w:after="0" w:line="113" w:lineRule="exact"/>
              <w:rPr>
                <w:sz w:val="20"/>
                <w:szCs w:val="20"/>
                <w:color w:val="auto"/>
              </w:rPr>
            </w:pPr>
            <w:r>
              <w:rPr>
                <w:rFonts w:ascii="Arial" w:cs="Arial" w:eastAsia="Arial" w:hAnsi="Arial"/>
                <w:sz w:val="10"/>
                <w:szCs w:val="10"/>
                <w:color w:val="auto"/>
              </w:rPr>
              <w:t>5¼% fixed rate, due May 2023</w:t>
            </w:r>
          </w:p>
        </w:tc>
        <w:tc>
          <w:tcPr>
            <w:tcW w:w="3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559.6</w:t>
            </w:r>
          </w:p>
        </w:tc>
        <w:tc>
          <w:tcPr>
            <w:tcW w:w="3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559.6</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tcPr>
          <w:p>
            <w:pPr>
              <w:ind w:left="260"/>
              <w:spacing w:after="0" w:line="113" w:lineRule="exact"/>
              <w:rPr>
                <w:sz w:val="20"/>
                <w:szCs w:val="20"/>
                <w:color w:val="auto"/>
              </w:rPr>
            </w:pPr>
            <w:r>
              <w:rPr>
                <w:rFonts w:ascii="Arial" w:cs="Arial" w:eastAsia="Arial" w:hAnsi="Arial"/>
                <w:sz w:val="10"/>
                <w:szCs w:val="10"/>
                <w:color w:val="auto"/>
              </w:rPr>
              <w:t>4¼% fixed rate, due November 2023</w:t>
            </w:r>
          </w:p>
        </w:tc>
        <w:tc>
          <w:tcPr>
            <w:tcW w:w="3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Arial" w:cs="Arial" w:eastAsia="Arial" w:hAnsi="Arial"/>
                <w:sz w:val="10"/>
                <w:szCs w:val="10"/>
                <w:color w:val="auto"/>
              </w:rPr>
              <w:t>583.9</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jc w:val="right"/>
              <w:spacing w:after="0" w:line="113" w:lineRule="exact"/>
              <w:rPr>
                <w:sz w:val="20"/>
                <w:szCs w:val="20"/>
                <w:color w:val="auto"/>
              </w:rPr>
            </w:pPr>
            <w:r>
              <w:rPr>
                <w:rFonts w:ascii="Arial" w:cs="Arial" w:eastAsia="Arial" w:hAnsi="Arial"/>
                <w:sz w:val="10"/>
                <w:szCs w:val="10"/>
                <w:color w:val="auto"/>
              </w:rPr>
              <w:t>583.9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shd w:val="clear" w:color="auto" w:fill="CFF0FC"/>
          </w:tcPr>
          <w:p>
            <w:pPr>
              <w:ind w:left="260"/>
              <w:spacing w:after="0" w:line="113" w:lineRule="exact"/>
              <w:rPr>
                <w:sz w:val="20"/>
                <w:szCs w:val="20"/>
                <w:color w:val="auto"/>
              </w:rPr>
            </w:pPr>
            <w:r>
              <w:rPr>
                <w:rFonts w:ascii="Arial" w:cs="Arial" w:eastAsia="Arial" w:hAnsi="Arial"/>
                <w:sz w:val="10"/>
                <w:szCs w:val="10"/>
                <w:color w:val="auto"/>
              </w:rPr>
              <w:t>6¾% fixed rate, due March 2024</w:t>
            </w:r>
          </w:p>
        </w:tc>
        <w:tc>
          <w:tcPr>
            <w:tcW w:w="3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580.1</w:t>
            </w:r>
          </w:p>
        </w:tc>
        <w:tc>
          <w:tcPr>
            <w:tcW w:w="3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580.1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tcPr>
          <w:p>
            <w:pPr>
              <w:ind w:left="260"/>
              <w:spacing w:after="0" w:line="113" w:lineRule="exact"/>
              <w:rPr>
                <w:sz w:val="20"/>
                <w:szCs w:val="20"/>
                <w:color w:val="auto"/>
              </w:rPr>
            </w:pPr>
            <w:r>
              <w:rPr>
                <w:rFonts w:ascii="Arial" w:cs="Arial" w:eastAsia="Arial" w:hAnsi="Arial"/>
                <w:sz w:val="10"/>
                <w:szCs w:val="10"/>
                <w:color w:val="auto"/>
              </w:rPr>
              <w:t>5⅛% fixed rate, due February 2025</w:t>
            </w:r>
          </w:p>
        </w:tc>
        <w:tc>
          <w:tcPr>
            <w:tcW w:w="3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Arial" w:cs="Arial" w:eastAsia="Arial" w:hAnsi="Arial"/>
                <w:sz w:val="10"/>
                <w:szCs w:val="10"/>
                <w:color w:val="auto"/>
              </w:rPr>
              <w:t>500.0</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jc w:val="right"/>
              <w:spacing w:after="0" w:line="113" w:lineRule="exact"/>
              <w:rPr>
                <w:sz w:val="20"/>
                <w:szCs w:val="20"/>
                <w:color w:val="auto"/>
              </w:rPr>
            </w:pPr>
            <w:r>
              <w:rPr>
                <w:rFonts w:ascii="Arial" w:cs="Arial" w:eastAsia="Arial" w:hAnsi="Arial"/>
                <w:sz w:val="10"/>
                <w:szCs w:val="10"/>
                <w:color w:val="auto"/>
              </w:rPr>
              <w:t>500.0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shd w:val="clear" w:color="auto" w:fill="CFF0FC"/>
          </w:tcPr>
          <w:p>
            <w:pPr>
              <w:ind w:left="260"/>
              <w:spacing w:after="0" w:line="113" w:lineRule="exact"/>
              <w:rPr>
                <w:sz w:val="20"/>
                <w:szCs w:val="20"/>
                <w:color w:val="auto"/>
              </w:rPr>
            </w:pPr>
            <w:r>
              <w:rPr>
                <w:rFonts w:ascii="Arial" w:cs="Arial" w:eastAsia="Arial" w:hAnsi="Arial"/>
                <w:sz w:val="10"/>
                <w:szCs w:val="10"/>
                <w:color w:val="auto"/>
              </w:rPr>
              <w:t>5⅞% fixed rate, due April 2026</w:t>
            </w:r>
          </w:p>
        </w:tc>
        <w:tc>
          <w:tcPr>
            <w:tcW w:w="3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1,000.0</w:t>
            </w:r>
          </w:p>
        </w:tc>
        <w:tc>
          <w:tcPr>
            <w:tcW w:w="3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tcPr>
          <w:p>
            <w:pPr>
              <w:ind w:left="260"/>
              <w:spacing w:after="0" w:line="113" w:lineRule="exact"/>
              <w:rPr>
                <w:sz w:val="20"/>
                <w:szCs w:val="20"/>
                <w:color w:val="auto"/>
              </w:rPr>
            </w:pPr>
            <w:r>
              <w:rPr>
                <w:rFonts w:ascii="Arial" w:cs="Arial" w:eastAsia="Arial" w:hAnsi="Arial"/>
                <w:sz w:val="10"/>
                <w:szCs w:val="10"/>
                <w:color w:val="auto"/>
              </w:rPr>
              <w:t>5⅜% fixed rate, due February 2027</w:t>
            </w:r>
          </w:p>
        </w:tc>
        <w:tc>
          <w:tcPr>
            <w:tcW w:w="3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Arial" w:cs="Arial" w:eastAsia="Arial" w:hAnsi="Arial"/>
                <w:sz w:val="10"/>
                <w:szCs w:val="10"/>
                <w:color w:val="auto"/>
              </w:rPr>
              <w:t>500.0</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jc w:val="right"/>
              <w:spacing w:after="0" w:line="113" w:lineRule="exact"/>
              <w:rPr>
                <w:sz w:val="20"/>
                <w:szCs w:val="20"/>
                <w:color w:val="auto"/>
              </w:rPr>
            </w:pPr>
            <w:r>
              <w:rPr>
                <w:rFonts w:ascii="Arial" w:cs="Arial" w:eastAsia="Arial" w:hAnsi="Arial"/>
                <w:sz w:val="10"/>
                <w:szCs w:val="10"/>
                <w:color w:val="auto"/>
              </w:rPr>
              <w:t>500.0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shd w:val="clear" w:color="auto" w:fill="CFF0FC"/>
          </w:tcPr>
          <w:p>
            <w:pPr>
              <w:ind w:left="260"/>
              <w:spacing w:after="0" w:line="113" w:lineRule="exact"/>
              <w:rPr>
                <w:sz w:val="20"/>
                <w:szCs w:val="20"/>
                <w:color w:val="auto"/>
              </w:rPr>
            </w:pPr>
            <w:r>
              <w:rPr>
                <w:rFonts w:ascii="Arial" w:cs="Arial" w:eastAsia="Arial" w:hAnsi="Arial"/>
                <w:sz w:val="10"/>
                <w:szCs w:val="10"/>
                <w:color w:val="auto"/>
              </w:rPr>
              <w:t>6½% fixed rate, due July 2027</w:t>
            </w:r>
          </w:p>
        </w:tc>
        <w:tc>
          <w:tcPr>
            <w:tcW w:w="3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750.0</w:t>
            </w:r>
          </w:p>
        </w:tc>
        <w:tc>
          <w:tcPr>
            <w:tcW w:w="3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70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6140" w:type="dxa"/>
            <w:vAlign w:val="bottom"/>
          </w:tcPr>
          <w:p>
            <w:pPr>
              <w:ind w:left="260"/>
              <w:spacing w:after="0" w:line="113" w:lineRule="exact"/>
              <w:rPr>
                <w:sz w:val="20"/>
                <w:szCs w:val="20"/>
                <w:color w:val="auto"/>
              </w:rPr>
            </w:pPr>
            <w:r>
              <w:rPr>
                <w:rFonts w:ascii="Arial" w:cs="Arial" w:eastAsia="Arial" w:hAnsi="Arial"/>
                <w:sz w:val="10"/>
                <w:szCs w:val="10"/>
                <w:color w:val="auto"/>
              </w:rPr>
              <w:t>5% fixed rate, due January 2028</w:t>
            </w:r>
          </w:p>
        </w:tc>
        <w:tc>
          <w:tcPr>
            <w:tcW w:w="3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Arial" w:cs="Arial" w:eastAsia="Arial" w:hAnsi="Arial"/>
                <w:sz w:val="10"/>
                <w:szCs w:val="10"/>
                <w:color w:val="auto"/>
              </w:rPr>
              <w:t>750.0</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jc w:val="right"/>
              <w:spacing w:after="0" w:line="113" w:lineRule="exact"/>
              <w:rPr>
                <w:sz w:val="20"/>
                <w:szCs w:val="20"/>
                <w:color w:val="auto"/>
              </w:rPr>
            </w:pPr>
            <w:r>
              <w:rPr>
                <w:rFonts w:ascii="Arial" w:cs="Arial" w:eastAsia="Arial" w:hAnsi="Arial"/>
                <w:sz w:val="10"/>
                <w:szCs w:val="10"/>
                <w:color w:val="auto"/>
              </w:rPr>
              <w:t>750.0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shd w:val="clear" w:color="auto" w:fill="CFF0FC"/>
          </w:tcPr>
          <w:p>
            <w:pPr>
              <w:ind w:left="260"/>
              <w:spacing w:after="0" w:line="113" w:lineRule="exact"/>
              <w:rPr>
                <w:sz w:val="20"/>
                <w:szCs w:val="20"/>
                <w:color w:val="auto"/>
              </w:rPr>
            </w:pPr>
            <w:r>
              <w:rPr>
                <w:rFonts w:ascii="Arial" w:cs="Arial" w:eastAsia="Arial" w:hAnsi="Arial"/>
                <w:sz w:val="10"/>
                <w:szCs w:val="10"/>
                <w:color w:val="auto"/>
              </w:rPr>
              <w:t>6⅞% fixed rate, due January 2029</w:t>
            </w:r>
          </w:p>
        </w:tc>
        <w:tc>
          <w:tcPr>
            <w:tcW w:w="3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750.0</w:t>
            </w:r>
          </w:p>
        </w:tc>
        <w:tc>
          <w:tcPr>
            <w:tcW w:w="3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70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6140" w:type="dxa"/>
            <w:vAlign w:val="bottom"/>
          </w:tcPr>
          <w:p>
            <w:pPr>
              <w:ind w:left="180"/>
              <w:spacing w:after="0" w:line="113" w:lineRule="exact"/>
              <w:rPr>
                <w:sz w:val="20"/>
                <w:szCs w:val="20"/>
                <w:color w:val="auto"/>
              </w:rPr>
            </w:pPr>
            <w:r>
              <w:rPr>
                <w:rFonts w:ascii="Arial" w:cs="Arial" w:eastAsia="Arial" w:hAnsi="Arial"/>
                <w:sz w:val="10"/>
                <w:szCs w:val="10"/>
                <w:color w:val="auto"/>
              </w:rPr>
              <w:t>TPL notes, 4¾% fixed rate, due November 2021 (3)</w:t>
            </w:r>
          </w:p>
        </w:tc>
        <w:tc>
          <w:tcPr>
            <w:tcW w:w="3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Arial" w:cs="Arial" w:eastAsia="Arial" w:hAnsi="Arial"/>
                <w:sz w:val="10"/>
                <w:szCs w:val="10"/>
                <w:color w:val="auto"/>
              </w:rPr>
              <w:t>6.5</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jc w:val="right"/>
              <w:spacing w:after="0" w:line="113" w:lineRule="exact"/>
              <w:rPr>
                <w:sz w:val="20"/>
                <w:szCs w:val="20"/>
                <w:color w:val="auto"/>
              </w:rPr>
            </w:pPr>
            <w:r>
              <w:rPr>
                <w:rFonts w:ascii="Arial" w:cs="Arial" w:eastAsia="Arial" w:hAnsi="Arial"/>
                <w:sz w:val="10"/>
                <w:szCs w:val="10"/>
                <w:color w:val="auto"/>
              </w:rPr>
              <w:t>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shd w:val="clear" w:color="auto" w:fill="CFF0FC"/>
          </w:tcPr>
          <w:p>
            <w:pPr>
              <w:ind w:left="180"/>
              <w:spacing w:after="0" w:line="113" w:lineRule="exact"/>
              <w:rPr>
                <w:sz w:val="20"/>
                <w:szCs w:val="20"/>
                <w:color w:val="auto"/>
              </w:rPr>
            </w:pPr>
            <w:r>
              <w:rPr>
                <w:rFonts w:ascii="Arial" w:cs="Arial" w:eastAsia="Arial" w:hAnsi="Arial"/>
                <w:sz w:val="10"/>
                <w:szCs w:val="10"/>
                <w:color w:val="auto"/>
              </w:rPr>
              <w:t>TPL notes, 5⅞% fixed rate, due August 2023 (3)</w:t>
            </w:r>
          </w:p>
        </w:tc>
        <w:tc>
          <w:tcPr>
            <w:tcW w:w="3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48.1</w:t>
            </w:r>
          </w:p>
        </w:tc>
        <w:tc>
          <w:tcPr>
            <w:tcW w:w="3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48.1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140" w:type="dxa"/>
            <w:vAlign w:val="bottom"/>
            <w:tcBorders>
              <w:bottom w:val="single" w:sz="8" w:color="CFF0FC"/>
            </w:tcBorders>
          </w:tcPr>
          <w:p>
            <w:pPr>
              <w:ind w:left="360"/>
              <w:spacing w:after="0" w:line="113" w:lineRule="exact"/>
              <w:rPr>
                <w:sz w:val="20"/>
                <w:szCs w:val="20"/>
                <w:color w:val="auto"/>
              </w:rPr>
            </w:pPr>
            <w:r>
              <w:rPr>
                <w:rFonts w:ascii="Arial" w:cs="Arial" w:eastAsia="Arial" w:hAnsi="Arial"/>
                <w:sz w:val="10"/>
                <w:szCs w:val="10"/>
                <w:color w:val="auto"/>
              </w:rPr>
              <w:t>Unamortized premium</w:t>
            </w:r>
          </w:p>
        </w:tc>
        <w:tc>
          <w:tcPr>
            <w:tcW w:w="3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0.3</w:t>
            </w:r>
          </w:p>
        </w:tc>
        <w:tc>
          <w:tcPr>
            <w:tcW w:w="32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0.3</w:t>
            </w: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14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6,698.5</w:t>
            </w:r>
          </w:p>
        </w:tc>
        <w:tc>
          <w:tcPr>
            <w:tcW w:w="3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60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5,228.5</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140" w:type="dxa"/>
            <w:vAlign w:val="bottom"/>
          </w:tcPr>
          <w:p>
            <w:pPr>
              <w:ind w:left="180"/>
              <w:spacing w:after="0" w:line="113" w:lineRule="exact"/>
              <w:rPr>
                <w:sz w:val="20"/>
                <w:szCs w:val="20"/>
                <w:color w:val="auto"/>
              </w:rPr>
            </w:pPr>
            <w:r>
              <w:rPr>
                <w:rFonts w:ascii="Arial" w:cs="Arial" w:eastAsia="Arial" w:hAnsi="Arial"/>
                <w:sz w:val="10"/>
                <w:szCs w:val="10"/>
                <w:color w:val="auto"/>
              </w:rPr>
              <w:t>Debt issuance costs, net of amortization</w:t>
            </w:r>
          </w:p>
        </w:tc>
        <w:tc>
          <w:tcPr>
            <w:tcW w:w="320" w:type="dxa"/>
            <w:vAlign w:val="bottom"/>
          </w:tcPr>
          <w:p>
            <w:pPr>
              <w:spacing w:after="0"/>
              <w:rPr>
                <w:sz w:val="9"/>
                <w:szCs w:val="9"/>
                <w:color w:val="auto"/>
              </w:rPr>
            </w:pPr>
          </w:p>
        </w:tc>
        <w:tc>
          <w:tcPr>
            <w:tcW w:w="1880" w:type="dxa"/>
            <w:vAlign w:val="bottom"/>
            <w:gridSpan w:val="2"/>
          </w:tcPr>
          <w:p>
            <w:pPr>
              <w:jc w:val="right"/>
              <w:ind w:right="300"/>
              <w:spacing w:after="0" w:line="113" w:lineRule="exact"/>
              <w:rPr>
                <w:sz w:val="20"/>
                <w:szCs w:val="20"/>
                <w:color w:val="auto"/>
              </w:rPr>
            </w:pPr>
            <w:r>
              <w:rPr>
                <w:rFonts w:ascii="Arial" w:cs="Arial" w:eastAsia="Arial" w:hAnsi="Arial"/>
                <w:sz w:val="10"/>
                <w:szCs w:val="10"/>
                <w:color w:val="auto"/>
              </w:rPr>
              <w:t>(42.7)</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(31.1)</w:t>
            </w:r>
          </w:p>
        </w:tc>
        <w:tc>
          <w:tcPr>
            <w:tcW w:w="0" w:type="dxa"/>
            <w:vAlign w:val="bottom"/>
          </w:tcPr>
          <w:p>
            <w:pPr>
              <w:spacing w:after="0"/>
              <w:rPr>
                <w:sz w:val="1"/>
                <w:szCs w:val="1"/>
                <w:color w:val="auto"/>
              </w:rPr>
            </w:pPr>
          </w:p>
        </w:tc>
      </w:tr>
      <w:tr>
        <w:trPr>
          <w:trHeight w:val="113"/>
        </w:trPr>
        <w:tc>
          <w:tcPr>
            <w:tcW w:w="6140" w:type="dxa"/>
            <w:vAlign w:val="bottom"/>
            <w:shd w:val="clear" w:color="auto" w:fill="CFF0FC"/>
          </w:tcPr>
          <w:p>
            <w:pPr>
              <w:ind w:left="180"/>
              <w:spacing w:after="0" w:line="113" w:lineRule="exact"/>
              <w:rPr>
                <w:sz w:val="20"/>
                <w:szCs w:val="20"/>
                <w:color w:val="auto"/>
              </w:rPr>
            </w:pPr>
            <w:r>
              <w:rPr>
                <w:rFonts w:ascii="Arial" w:cs="Arial" w:eastAsia="Arial" w:hAnsi="Arial"/>
                <w:sz w:val="10"/>
                <w:szCs w:val="10"/>
                <w:color w:val="auto"/>
              </w:rPr>
              <w:t>Finance lease liabilities</w:t>
            </w:r>
          </w:p>
        </w:tc>
        <w:tc>
          <w:tcPr>
            <w:tcW w:w="3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27.7</w:t>
            </w:r>
          </w:p>
        </w:tc>
        <w:tc>
          <w:tcPr>
            <w:tcW w:w="3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70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2"/>
        </w:trPr>
        <w:tc>
          <w:tcPr>
            <w:tcW w:w="6140" w:type="dxa"/>
            <w:vAlign w:val="bottom"/>
            <w:tcBorders>
              <w:bottom w:val="single" w:sz="8" w:color="CFF0FC"/>
            </w:tcBorders>
          </w:tcPr>
          <w:p>
            <w:pPr>
              <w:ind w:left="360"/>
              <w:spacing w:after="0" w:line="103" w:lineRule="exact"/>
              <w:rPr>
                <w:sz w:val="20"/>
                <w:szCs w:val="20"/>
                <w:color w:val="auto"/>
              </w:rPr>
            </w:pPr>
            <w:r>
              <w:rPr>
                <w:rFonts w:ascii="Arial" w:cs="Arial" w:eastAsia="Arial" w:hAnsi="Arial"/>
                <w:sz w:val="10"/>
                <w:szCs w:val="10"/>
                <w:color w:val="auto"/>
              </w:rPr>
              <w:t>Long-term debt</w:t>
            </w:r>
          </w:p>
        </w:tc>
        <w:tc>
          <w:tcPr>
            <w:tcW w:w="320" w:type="dxa"/>
            <w:vAlign w:val="bottom"/>
            <w:tcBorders>
              <w:top w:val="single" w:sz="8" w:color="auto"/>
              <w:bottom w:val="single" w:sz="8" w:color="auto"/>
            </w:tcBorders>
          </w:tcPr>
          <w:p>
            <w:pPr>
              <w:spacing w:after="0"/>
              <w:rPr>
                <w:sz w:val="8"/>
                <w:szCs w:val="8"/>
                <w:color w:val="auto"/>
              </w:rPr>
            </w:pPr>
          </w:p>
        </w:tc>
        <w:tc>
          <w:tcPr>
            <w:tcW w:w="15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6,683.5</w:t>
            </w:r>
          </w:p>
        </w:tc>
        <w:tc>
          <w:tcPr>
            <w:tcW w:w="320" w:type="dxa"/>
            <w:vAlign w:val="bottom"/>
            <w:tcBorders>
              <w:bottom w:val="single" w:sz="8" w:color="CFF0FC"/>
            </w:tcBorders>
          </w:tcPr>
          <w:p>
            <w:pPr>
              <w:spacing w:after="0"/>
              <w:rPr>
                <w:sz w:val="8"/>
                <w:szCs w:val="8"/>
                <w:color w:val="auto"/>
              </w:rPr>
            </w:pPr>
          </w:p>
        </w:tc>
        <w:tc>
          <w:tcPr>
            <w:tcW w:w="20" w:type="dxa"/>
            <w:vAlign w:val="bottom"/>
            <w:tcBorders>
              <w:bottom w:val="single" w:sz="8" w:color="CFF0FC"/>
            </w:tcBorders>
          </w:tcPr>
          <w:p>
            <w:pPr>
              <w:spacing w:after="0"/>
              <w:rPr>
                <w:sz w:val="8"/>
                <w:szCs w:val="8"/>
                <w:color w:val="auto"/>
              </w:rPr>
            </w:pPr>
          </w:p>
        </w:tc>
        <w:tc>
          <w:tcPr>
            <w:tcW w:w="280" w:type="dxa"/>
            <w:vAlign w:val="bottom"/>
            <w:tcBorders>
              <w:top w:val="single" w:sz="8" w:color="auto"/>
              <w:bottom w:val="single" w:sz="8" w:color="auto"/>
            </w:tcBorders>
          </w:tcPr>
          <w:p>
            <w:pPr>
              <w:spacing w:after="0"/>
              <w:rPr>
                <w:sz w:val="8"/>
                <w:szCs w:val="8"/>
                <w:color w:val="auto"/>
              </w:rPr>
            </w:pPr>
          </w:p>
        </w:tc>
        <w:tc>
          <w:tcPr>
            <w:tcW w:w="160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5,197.4</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140" w:type="dxa"/>
            <w:vAlign w:val="bottom"/>
            <w:tcBorders>
              <w:bottom w:val="single" w:sz="8" w:color="CFF0FC"/>
            </w:tcBorders>
            <w:shd w:val="clear" w:color="auto" w:fill="CFF0FC"/>
          </w:tcPr>
          <w:p>
            <w:pPr>
              <w:ind w:left="520"/>
              <w:spacing w:after="0" w:line="103" w:lineRule="exact"/>
              <w:rPr>
                <w:sz w:val="20"/>
                <w:szCs w:val="20"/>
                <w:color w:val="auto"/>
              </w:rPr>
            </w:pPr>
            <w:r>
              <w:rPr>
                <w:rFonts w:ascii="Arial" w:cs="Arial" w:eastAsia="Arial" w:hAnsi="Arial"/>
                <w:sz w:val="10"/>
                <w:szCs w:val="10"/>
                <w:color w:val="auto"/>
              </w:rPr>
              <w:t>Total debt obligations</w:t>
            </w:r>
          </w:p>
        </w:tc>
        <w:tc>
          <w:tcPr>
            <w:tcW w:w="320" w:type="dxa"/>
            <w:vAlign w:val="bottom"/>
            <w:tcBorders>
              <w:bottom w:val="single" w:sz="8" w:color="auto"/>
            </w:tcBorders>
            <w:shd w:val="clear" w:color="auto" w:fill="CFF0FC"/>
          </w:tcPr>
          <w:p>
            <w:pPr>
              <w:jc w:val="right"/>
              <w:ind w:right="255"/>
              <w:spacing w:after="0"/>
              <w:rPr>
                <w:sz w:val="20"/>
                <w:szCs w:val="20"/>
                <w:color w:val="auto"/>
              </w:rPr>
            </w:pPr>
            <w:r>
              <w:rPr>
                <w:rFonts w:ascii="Arial" w:cs="Arial" w:eastAsia="Arial" w:hAnsi="Arial"/>
                <w:sz w:val="5"/>
                <w:szCs w:val="5"/>
                <w:color w:val="auto"/>
                <w:w w:val="70"/>
              </w:rPr>
              <w:t>$</w:t>
            </w:r>
          </w:p>
        </w:tc>
        <w:tc>
          <w:tcPr>
            <w:tcW w:w="156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7,001.6</w:t>
            </w:r>
          </w:p>
        </w:tc>
        <w:tc>
          <w:tcPr>
            <w:tcW w:w="32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jc w:val="right"/>
              <w:ind w:right="215"/>
              <w:spacing w:after="0"/>
              <w:rPr>
                <w:sz w:val="20"/>
                <w:szCs w:val="20"/>
                <w:color w:val="auto"/>
              </w:rPr>
            </w:pPr>
            <w:r>
              <w:rPr>
                <w:rFonts w:ascii="Arial" w:cs="Arial" w:eastAsia="Arial" w:hAnsi="Arial"/>
                <w:sz w:val="5"/>
                <w:szCs w:val="5"/>
                <w:color w:val="auto"/>
                <w:w w:val="70"/>
              </w:rPr>
              <w:t>$</w:t>
            </w:r>
          </w:p>
        </w:tc>
        <w:tc>
          <w:tcPr>
            <w:tcW w:w="160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6,225.3</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6140" w:type="dxa"/>
            <w:vAlign w:val="bottom"/>
          </w:tcPr>
          <w:p>
            <w:pPr>
              <w:spacing w:after="0" w:line="102" w:lineRule="exact"/>
              <w:rPr>
                <w:sz w:val="20"/>
                <w:szCs w:val="20"/>
                <w:color w:val="auto"/>
              </w:rPr>
            </w:pPr>
            <w:r>
              <w:rPr>
                <w:rFonts w:ascii="Arial" w:cs="Arial" w:eastAsia="Arial" w:hAnsi="Arial"/>
                <w:sz w:val="10"/>
                <w:szCs w:val="10"/>
                <w:b w:val="1"/>
                <w:bCs w:val="1"/>
                <w:color w:val="auto"/>
              </w:rPr>
              <w:t>Irrevocable standby letters of credit outstanding (2)</w:t>
            </w:r>
          </w:p>
        </w:tc>
        <w:tc>
          <w:tcPr>
            <w:tcW w:w="320" w:type="dxa"/>
            <w:vAlign w:val="bottom"/>
            <w:tcBorders>
              <w:bottom w:val="single" w:sz="8" w:color="auto"/>
            </w:tcBorders>
          </w:tcPr>
          <w:p>
            <w:pPr>
              <w:jc w:val="right"/>
              <w:ind w:right="255"/>
              <w:spacing w:after="0"/>
              <w:rPr>
                <w:sz w:val="20"/>
                <w:szCs w:val="20"/>
                <w:color w:val="auto"/>
              </w:rPr>
            </w:pPr>
            <w:r>
              <w:rPr>
                <w:rFonts w:ascii="Arial" w:cs="Arial" w:eastAsia="Arial" w:hAnsi="Arial"/>
                <w:sz w:val="5"/>
                <w:szCs w:val="5"/>
                <w:color w:val="auto"/>
                <w:w w:val="70"/>
              </w:rPr>
              <w:t>$</w:t>
            </w:r>
          </w:p>
        </w:tc>
        <w:tc>
          <w:tcPr>
            <w:tcW w:w="15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69.8</w:t>
            </w: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ind w:right="215"/>
              <w:spacing w:after="0"/>
              <w:rPr>
                <w:sz w:val="20"/>
                <w:szCs w:val="20"/>
                <w:color w:val="auto"/>
              </w:rPr>
            </w:pPr>
            <w:r>
              <w:rPr>
                <w:rFonts w:ascii="Arial" w:cs="Arial" w:eastAsia="Arial" w:hAnsi="Arial"/>
                <w:sz w:val="5"/>
                <w:szCs w:val="5"/>
                <w:color w:val="auto"/>
                <w:w w:val="70"/>
              </w:rPr>
              <w:t>$</w:t>
            </w:r>
          </w:p>
        </w:tc>
        <w:tc>
          <w:tcPr>
            <w:tcW w:w="160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79.5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040" w:hanging="518"/>
        <w:spacing w:after="0"/>
        <w:tabs>
          <w:tab w:leader="none" w:pos="1040" w:val="left"/>
        </w:tabs>
        <w:numPr>
          <w:ilvl w:val="0"/>
          <w:numId w:val="9"/>
        </w:numPr>
        <w:rPr>
          <w:rFonts w:ascii="Arial" w:cs="Arial" w:eastAsia="Arial" w:hAnsi="Arial"/>
          <w:sz w:val="10"/>
          <w:szCs w:val="10"/>
          <w:color w:val="auto"/>
        </w:rPr>
      </w:pPr>
      <w:r>
        <w:rPr>
          <w:rFonts w:ascii="Arial" w:cs="Arial" w:eastAsia="Arial" w:hAnsi="Arial"/>
          <w:sz w:val="10"/>
          <w:szCs w:val="10"/>
          <w:color w:val="auto"/>
        </w:rPr>
        <w:t>As of March 31, 2019, we had $337.6 million of qualifying receivables under our $400.0 million accounts receivable securitization facility, resulting in availability of $30.0 million.</w:t>
      </w:r>
    </w:p>
    <w:p>
      <w:pPr>
        <w:ind w:left="1040" w:hanging="518"/>
        <w:spacing w:after="0" w:line="215" w:lineRule="auto"/>
        <w:tabs>
          <w:tab w:leader="none" w:pos="1040" w:val="left"/>
        </w:tabs>
        <w:numPr>
          <w:ilvl w:val="0"/>
          <w:numId w:val="9"/>
        </w:numPr>
        <w:rPr>
          <w:rFonts w:ascii="Arial" w:cs="Arial" w:eastAsia="Arial" w:hAnsi="Arial"/>
          <w:sz w:val="10"/>
          <w:szCs w:val="10"/>
          <w:color w:val="auto"/>
        </w:rPr>
      </w:pPr>
      <w:r>
        <w:rPr>
          <w:rFonts w:ascii="Arial" w:cs="Arial" w:eastAsia="Arial" w:hAnsi="Arial"/>
          <w:sz w:val="10"/>
          <w:szCs w:val="10"/>
          <w:color w:val="auto"/>
        </w:rPr>
        <w:t>As of March 31, 2019, availability under our $2.2 billion senior secured revolving credit facility (“TRP Revolver”) was $1,460.2 million.</w:t>
      </w:r>
    </w:p>
    <w:p>
      <w:pPr>
        <w:ind w:left="1040" w:hanging="518"/>
        <w:spacing w:after="0"/>
        <w:tabs>
          <w:tab w:leader="none" w:pos="1040" w:val="left"/>
        </w:tabs>
        <w:numPr>
          <w:ilvl w:val="0"/>
          <w:numId w:val="9"/>
        </w:numPr>
        <w:rPr>
          <w:rFonts w:ascii="Arial" w:cs="Arial" w:eastAsia="Arial" w:hAnsi="Arial"/>
          <w:sz w:val="10"/>
          <w:szCs w:val="10"/>
          <w:color w:val="auto"/>
        </w:rPr>
      </w:pPr>
      <w:r>
        <w:rPr>
          <w:rFonts w:ascii="Arial" w:cs="Arial" w:eastAsia="Arial" w:hAnsi="Arial"/>
          <w:sz w:val="10"/>
          <w:szCs w:val="10"/>
          <w:color w:val="auto"/>
        </w:rPr>
        <w:t>“TPL” refers to Targa Pipeline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-207010</wp:posOffset>
            </wp:positionV>
            <wp:extent cx="8483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8360" cy="571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range of interest rates and weighted average interest rate incurred on our variable-rate debt obligations during the three months ended March 31, 2019:</w:t>
      </w:r>
    </w:p>
    <w:tbl>
      <w:tblPr>
        <w:tblLayout w:type="fixed"/>
        <w:tblInd w:w="1140" w:type="dxa"/>
        <w:tblCellMar>
          <w:top w:w="0" w:type="dxa"/>
          <w:left w:w="0" w:type="dxa"/>
          <w:bottom w:w="0" w:type="dxa"/>
          <w:right w:w="0" w:type="dxa"/>
        </w:tblCellMar>
      </w:tblPr>
      <w:tr>
        <w:trPr>
          <w:trHeight w:val="108"/>
        </w:trPr>
        <w:tc>
          <w:tcPr>
            <w:tcW w:w="50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89"/>
              </w:rPr>
              <w:t>Weighted Average</w:t>
            </w:r>
          </w:p>
        </w:tc>
      </w:tr>
      <w:tr>
        <w:trPr>
          <w:trHeight w:val="103"/>
        </w:trPr>
        <w:tc>
          <w:tcPr>
            <w:tcW w:w="5040" w:type="dxa"/>
            <w:vAlign w:val="bottom"/>
          </w:tcPr>
          <w:p>
            <w:pPr>
              <w:spacing w:after="0"/>
              <w:rPr>
                <w:sz w:val="8"/>
                <w:szCs w:val="8"/>
                <w:color w:val="auto"/>
              </w:rPr>
            </w:pPr>
          </w:p>
        </w:tc>
        <w:tc>
          <w:tcPr>
            <w:tcW w:w="216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0"/>
              </w:rPr>
              <w:t>Range of Interest</w:t>
            </w:r>
          </w:p>
        </w:tc>
        <w:tc>
          <w:tcPr>
            <w:tcW w:w="198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2"/>
              </w:rPr>
              <w:t>Interest Rate</w:t>
            </w:r>
          </w:p>
        </w:tc>
      </w:tr>
      <w:tr>
        <w:trPr>
          <w:trHeight w:val="118"/>
        </w:trPr>
        <w:tc>
          <w:tcPr>
            <w:tcW w:w="5040" w:type="dxa"/>
            <w:vAlign w:val="bottom"/>
          </w:tcPr>
          <w:p>
            <w:pPr>
              <w:spacing w:after="0"/>
              <w:rPr>
                <w:sz w:val="10"/>
                <w:szCs w:val="10"/>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Rates Incurred</w:t>
            </w:r>
          </w:p>
        </w:tc>
        <w:tc>
          <w:tcPr>
            <w:tcW w:w="19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Incurred</w:t>
            </w:r>
          </w:p>
        </w:tc>
      </w:tr>
      <w:tr>
        <w:trPr>
          <w:trHeight w:val="102"/>
        </w:trPr>
        <w:tc>
          <w:tcPr>
            <w:tcW w:w="504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TRP Revolver</w:t>
            </w:r>
          </w:p>
        </w:tc>
        <w:tc>
          <w:tcPr>
            <w:tcW w:w="1960" w:type="dxa"/>
            <w:vAlign w:val="bottom"/>
            <w:tcBorders>
              <w:top w:val="single" w:sz="8" w:color="auto"/>
            </w:tcBorders>
            <w:shd w:val="clear" w:color="auto" w:fill="CFF0FC"/>
          </w:tcPr>
          <w:p>
            <w:pPr>
              <w:jc w:val="right"/>
              <w:ind w:right="730"/>
              <w:spacing w:after="0" w:line="103" w:lineRule="exact"/>
              <w:rPr>
                <w:sz w:val="20"/>
                <w:szCs w:val="20"/>
                <w:color w:val="auto"/>
              </w:rPr>
            </w:pPr>
            <w:r>
              <w:rPr>
                <w:rFonts w:ascii="Arial" w:cs="Arial" w:eastAsia="Arial" w:hAnsi="Arial"/>
                <w:sz w:val="10"/>
                <w:szCs w:val="10"/>
                <w:color w:val="auto"/>
              </w:rPr>
              <w:t>3.8% - 4.3%</w:t>
            </w:r>
          </w:p>
        </w:tc>
        <w:tc>
          <w:tcPr>
            <w:tcW w:w="200" w:type="dxa"/>
            <w:vAlign w:val="bottom"/>
            <w:tcBorders>
              <w:top w:val="single" w:sz="8" w:color="CFF0FC"/>
            </w:tcBorders>
            <w:shd w:val="clear" w:color="auto" w:fill="CFF0FC"/>
          </w:tcPr>
          <w:p>
            <w:pPr>
              <w:spacing w:after="0"/>
              <w:rPr>
                <w:sz w:val="8"/>
                <w:szCs w:val="8"/>
                <w:color w:val="auto"/>
              </w:rPr>
            </w:pPr>
          </w:p>
        </w:tc>
        <w:tc>
          <w:tcPr>
            <w:tcW w:w="1900" w:type="dxa"/>
            <w:vAlign w:val="bottom"/>
            <w:tcBorders>
              <w:top w:val="single" w:sz="8" w:color="auto"/>
            </w:tcBorders>
            <w:shd w:val="clear" w:color="auto" w:fill="CFF0FC"/>
          </w:tcPr>
          <w:p>
            <w:pPr>
              <w:jc w:val="center"/>
              <w:spacing w:after="0" w:line="103" w:lineRule="exact"/>
              <w:rPr>
                <w:sz w:val="20"/>
                <w:szCs w:val="20"/>
                <w:color w:val="auto"/>
              </w:rPr>
            </w:pPr>
            <w:r>
              <w:rPr>
                <w:rFonts w:ascii="Arial" w:cs="Arial" w:eastAsia="Arial" w:hAnsi="Arial"/>
                <w:sz w:val="10"/>
                <w:szCs w:val="10"/>
                <w:color w:val="auto"/>
                <w:w w:val="96"/>
              </w:rPr>
              <w:t>4.1%</w:t>
            </w:r>
          </w:p>
        </w:tc>
        <w:tc>
          <w:tcPr>
            <w:tcW w:w="80" w:type="dxa"/>
            <w:vAlign w:val="bottom"/>
            <w:tcBorders>
              <w:top w:val="single" w:sz="8" w:color="CFF0FC"/>
            </w:tcBorders>
            <w:shd w:val="clear" w:color="auto" w:fill="CFF0FC"/>
          </w:tcPr>
          <w:p>
            <w:pPr>
              <w:spacing w:after="0"/>
              <w:rPr>
                <w:sz w:val="8"/>
                <w:szCs w:val="8"/>
                <w:color w:val="auto"/>
              </w:rPr>
            </w:pPr>
          </w:p>
        </w:tc>
      </w:tr>
      <w:tr>
        <w:trPr>
          <w:trHeight w:val="127"/>
        </w:trPr>
        <w:tc>
          <w:tcPr>
            <w:tcW w:w="5040" w:type="dxa"/>
            <w:vAlign w:val="bottom"/>
          </w:tcPr>
          <w:p>
            <w:pPr>
              <w:spacing w:after="0"/>
              <w:rPr>
                <w:sz w:val="20"/>
                <w:szCs w:val="20"/>
                <w:color w:val="auto"/>
              </w:rPr>
            </w:pPr>
            <w:r>
              <w:rPr>
                <w:rFonts w:ascii="Arial" w:cs="Arial" w:eastAsia="Arial" w:hAnsi="Arial"/>
                <w:sz w:val="10"/>
                <w:szCs w:val="10"/>
                <w:color w:val="auto"/>
              </w:rPr>
              <w:t>Accounts receivable securitization facility</w:t>
            </w:r>
          </w:p>
        </w:tc>
        <w:tc>
          <w:tcPr>
            <w:tcW w:w="1960" w:type="dxa"/>
            <w:vAlign w:val="bottom"/>
          </w:tcPr>
          <w:p>
            <w:pPr>
              <w:jc w:val="right"/>
              <w:ind w:right="870"/>
              <w:spacing w:after="0"/>
              <w:rPr>
                <w:sz w:val="20"/>
                <w:szCs w:val="20"/>
                <w:color w:val="auto"/>
              </w:rPr>
            </w:pPr>
            <w:r>
              <w:rPr>
                <w:rFonts w:ascii="Arial" w:cs="Arial" w:eastAsia="Arial" w:hAnsi="Arial"/>
                <w:sz w:val="10"/>
                <w:szCs w:val="10"/>
                <w:color w:val="auto"/>
              </w:rPr>
              <w:t>3.4%</w:t>
            </w:r>
          </w:p>
        </w:tc>
        <w:tc>
          <w:tcPr>
            <w:tcW w:w="20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Arial" w:cs="Arial" w:eastAsia="Arial" w:hAnsi="Arial"/>
                <w:sz w:val="10"/>
                <w:szCs w:val="10"/>
                <w:color w:val="auto"/>
                <w:w w:val="96"/>
              </w:rPr>
              <w:t>3.4%</w:t>
            </w:r>
          </w:p>
        </w:tc>
        <w:tc>
          <w:tcPr>
            <w:tcW w:w="80" w:type="dxa"/>
            <w:vAlign w:val="bottom"/>
          </w:tcPr>
          <w:p>
            <w:pPr>
              <w:spacing w:after="0"/>
              <w:rPr>
                <w:sz w:val="11"/>
                <w:szCs w:val="1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60"/>
          </w:cols>
          <w:pgMar w:left="220" w:top="432" w:right="21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i w:val="1"/>
          <w:iCs w:val="1"/>
          <w:color w:val="auto"/>
        </w:rPr>
        <w:t>Compliance with Debt Covenants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2019, we were in compliance with the covenants contained in our various debt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Senior Unsecured Notes Issuances</w:t>
      </w:r>
    </w:p>
    <w:p>
      <w:pPr>
        <w:spacing w:after="0" w:line="152" w:lineRule="exact"/>
        <w:rPr>
          <w:sz w:val="20"/>
          <w:szCs w:val="20"/>
          <w:color w:val="auto"/>
        </w:rPr>
      </w:pPr>
    </w:p>
    <w:p>
      <w:pPr>
        <w:jc w:val="both"/>
        <w:spacing w:after="0" w:line="344" w:lineRule="auto"/>
        <w:rPr>
          <w:sz w:val="20"/>
          <w:szCs w:val="20"/>
          <w:color w:val="auto"/>
        </w:rPr>
      </w:pPr>
      <w:r>
        <w:rPr>
          <w:rFonts w:ascii="Arial" w:cs="Arial" w:eastAsia="Arial" w:hAnsi="Arial"/>
          <w:sz w:val="11"/>
          <w:szCs w:val="11"/>
          <w:color w:val="auto"/>
        </w:rPr>
        <w:t>In January 2019, we issued $750.0 million of 6½% Senior Notes due July 2027 and $750.0 million of 6⅞% Senior Notes due January 2029, resulting in total net proceeds of $1,487.3 million. The net proceeds from the offerings were used to redeem in full our outstanding 4⅛% Senior Notes due 2019 with the remainder used for general partnership purposes, which included repaying borrowings under our credit facilities.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Extinguishment</w:t>
      </w:r>
    </w:p>
    <w:p>
      <w:pPr>
        <w:spacing w:after="0" w:line="152"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In February 2019, we redeemed in full our outstanding 4⅛% Senior Notes due 2019 at par value plus accrued interest through the redemption date. The redemption resulted in a non-cash loss to write-off $1.4 million of unamortized debt issuance costs, which is included in Gain (loss) from financing activities in the Consolidated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10 — Other Long-term Liabilities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Other long-term liabilities are comprised of the following obligations: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500" w:type="dxa"/>
            <w:vAlign w:val="bottom"/>
          </w:tcPr>
          <w:p>
            <w:pPr>
              <w:spacing w:after="0"/>
              <w:rPr>
                <w:sz w:val="10"/>
                <w:szCs w:val="10"/>
                <w:color w:val="auto"/>
              </w:rPr>
            </w:pPr>
          </w:p>
        </w:tc>
        <w:tc>
          <w:tcPr>
            <w:tcW w:w="1760" w:type="dxa"/>
            <w:vAlign w:val="bottom"/>
          </w:tcPr>
          <w:p>
            <w:pPr>
              <w:jc w:val="right"/>
              <w:ind w:right="250"/>
              <w:spacing w:after="0"/>
              <w:rPr>
                <w:sz w:val="20"/>
                <w:szCs w:val="20"/>
                <w:color w:val="auto"/>
              </w:rPr>
            </w:pPr>
            <w:r>
              <w:rPr>
                <w:rFonts w:ascii="Arial" w:cs="Arial" w:eastAsia="Arial" w:hAnsi="Arial"/>
                <w:sz w:val="10"/>
                <w:szCs w:val="10"/>
                <w:b w:val="1"/>
                <w:bCs w:val="1"/>
                <w:color w:val="auto"/>
              </w:rPr>
              <w:t>March 31, 2019</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20" w:type="dxa"/>
            <w:vAlign w:val="bottom"/>
            <w:gridSpan w:val="2"/>
          </w:tcPr>
          <w:p>
            <w:pPr>
              <w:ind w:left="340"/>
              <w:spacing w:after="0"/>
              <w:rPr>
                <w:sz w:val="20"/>
                <w:szCs w:val="20"/>
                <w:color w:val="auto"/>
              </w:rPr>
            </w:pPr>
            <w:r>
              <w:rPr>
                <w:rFonts w:ascii="Arial" w:cs="Arial" w:eastAsia="Arial" w:hAnsi="Arial"/>
                <w:sz w:val="10"/>
                <w:szCs w:val="10"/>
                <w:b w:val="1"/>
                <w:bCs w:val="1"/>
                <w:color w:val="auto"/>
              </w:rPr>
              <w:t>December 31, 2018</w:t>
            </w:r>
          </w:p>
        </w:tc>
      </w:tr>
      <w:tr>
        <w:trPr>
          <w:trHeight w:val="102"/>
        </w:trPr>
        <w:tc>
          <w:tcPr>
            <w:tcW w:w="6500" w:type="dxa"/>
            <w:vAlign w:val="bottom"/>
            <w:tcBorders>
              <w:top w:val="single" w:sz="8" w:color="CFF0FC"/>
            </w:tcBorders>
            <w:shd w:val="clear" w:color="auto" w:fill="CFF0FC"/>
          </w:tcPr>
          <w:p>
            <w:pPr>
              <w:ind w:left="160"/>
              <w:spacing w:after="0" w:line="103" w:lineRule="exact"/>
              <w:rPr>
                <w:sz w:val="20"/>
                <w:szCs w:val="20"/>
                <w:color w:val="auto"/>
              </w:rPr>
            </w:pPr>
            <w:r>
              <w:rPr>
                <w:rFonts w:ascii="Arial" w:cs="Arial" w:eastAsia="Arial" w:hAnsi="Arial"/>
                <w:sz w:val="10"/>
                <w:szCs w:val="10"/>
                <w:color w:val="auto"/>
              </w:rPr>
              <w:t>Asset retirement obligations</w:t>
            </w:r>
          </w:p>
        </w:tc>
        <w:tc>
          <w:tcPr>
            <w:tcW w:w="1760" w:type="dxa"/>
            <w:vAlign w:val="bottom"/>
            <w:tcBorders>
              <w:top w:val="single" w:sz="8" w:color="auto"/>
            </w:tcBorders>
            <w:shd w:val="clear" w:color="auto" w:fill="CFF0FC"/>
          </w:tcPr>
          <w:p>
            <w:pPr>
              <w:jc w:val="right"/>
              <w:ind w:right="165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63.4</w:t>
            </w:r>
          </w:p>
        </w:tc>
        <w:tc>
          <w:tcPr>
            <w:tcW w:w="300" w:type="dxa"/>
            <w:vAlign w:val="bottom"/>
            <w:tcBorders>
              <w:top w:val="single" w:sz="8" w:color="CFF0FC"/>
            </w:tcBorders>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jc w:val="right"/>
              <w:ind w:right="315"/>
              <w:spacing w:after="0"/>
              <w:rPr>
                <w:sz w:val="20"/>
                <w:szCs w:val="20"/>
                <w:color w:val="auto"/>
              </w:rPr>
            </w:pPr>
            <w:r>
              <w:rPr>
                <w:rFonts w:ascii="Arial" w:cs="Arial" w:eastAsia="Arial" w:hAnsi="Arial"/>
                <w:sz w:val="5"/>
                <w:szCs w:val="5"/>
                <w:color w:val="auto"/>
                <w:w w:val="70"/>
              </w:rPr>
              <w:t>$</w:t>
            </w:r>
          </w:p>
        </w:tc>
        <w:tc>
          <w:tcPr>
            <w:tcW w:w="190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55.0</w:t>
            </w:r>
          </w:p>
        </w:tc>
        <w:tc>
          <w:tcPr>
            <w:tcW w:w="120" w:type="dxa"/>
            <w:vAlign w:val="bottom"/>
            <w:tcBorders>
              <w:top w:val="single" w:sz="8" w:color="CFF0FC"/>
            </w:tcBorders>
            <w:shd w:val="clear" w:color="auto" w:fill="CFF0FC"/>
          </w:tcPr>
          <w:p>
            <w:pPr>
              <w:spacing w:after="0"/>
              <w:rPr>
                <w:sz w:val="8"/>
                <w:szCs w:val="8"/>
                <w:color w:val="auto"/>
              </w:rPr>
            </w:pPr>
          </w:p>
        </w:tc>
      </w:tr>
      <w:tr>
        <w:trPr>
          <w:trHeight w:val="113"/>
        </w:trPr>
        <w:tc>
          <w:tcPr>
            <w:tcW w:w="6500" w:type="dxa"/>
            <w:vAlign w:val="bottom"/>
          </w:tcPr>
          <w:p>
            <w:pPr>
              <w:ind w:left="160"/>
              <w:spacing w:after="0" w:line="113" w:lineRule="exact"/>
              <w:rPr>
                <w:sz w:val="20"/>
                <w:szCs w:val="20"/>
                <w:color w:val="auto"/>
              </w:rPr>
            </w:pPr>
            <w:r>
              <w:rPr>
                <w:rFonts w:ascii="Arial" w:cs="Arial" w:eastAsia="Arial" w:hAnsi="Arial"/>
                <w:sz w:val="10"/>
                <w:szCs w:val="10"/>
                <w:color w:val="auto"/>
              </w:rPr>
              <w:t>Deferred revenue</w:t>
            </w:r>
          </w:p>
        </w:tc>
        <w:tc>
          <w:tcPr>
            <w:tcW w:w="176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174.6</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tcPr>
          <w:p>
            <w:pPr>
              <w:jc w:val="right"/>
              <w:spacing w:after="0" w:line="113" w:lineRule="exact"/>
              <w:rPr>
                <w:sz w:val="20"/>
                <w:szCs w:val="20"/>
                <w:color w:val="auto"/>
              </w:rPr>
            </w:pPr>
            <w:r>
              <w:rPr>
                <w:rFonts w:ascii="Arial" w:cs="Arial" w:eastAsia="Arial" w:hAnsi="Arial"/>
                <w:sz w:val="10"/>
                <w:szCs w:val="10"/>
                <w:color w:val="auto"/>
              </w:rPr>
              <w:t>175.5</w:t>
            </w:r>
          </w:p>
        </w:tc>
        <w:tc>
          <w:tcPr>
            <w:tcW w:w="120" w:type="dxa"/>
            <w:vAlign w:val="bottom"/>
          </w:tcPr>
          <w:p>
            <w:pPr>
              <w:spacing w:after="0"/>
              <w:rPr>
                <w:sz w:val="9"/>
                <w:szCs w:val="9"/>
                <w:color w:val="auto"/>
              </w:rPr>
            </w:pPr>
          </w:p>
        </w:tc>
      </w:tr>
      <w:tr>
        <w:trPr>
          <w:trHeight w:val="113"/>
        </w:trPr>
        <w:tc>
          <w:tcPr>
            <w:tcW w:w="650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Operating lease liabilities</w:t>
            </w:r>
          </w:p>
        </w:tc>
        <w:tc>
          <w:tcPr>
            <w:tcW w:w="176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17.3</w:t>
            </w:r>
          </w:p>
        </w:tc>
        <w:tc>
          <w:tcPr>
            <w:tcW w:w="3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2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w:t>
            </w:r>
          </w:p>
        </w:tc>
      </w:tr>
      <w:tr>
        <w:trPr>
          <w:trHeight w:val="113"/>
        </w:trPr>
        <w:tc>
          <w:tcPr>
            <w:tcW w:w="6500" w:type="dxa"/>
            <w:vAlign w:val="bottom"/>
            <w:tcBorders>
              <w:bottom w:val="single" w:sz="8" w:color="CFF0FC"/>
            </w:tcBorders>
          </w:tcPr>
          <w:p>
            <w:pPr>
              <w:ind w:left="160"/>
              <w:spacing w:after="0" w:line="113" w:lineRule="exact"/>
              <w:rPr>
                <w:sz w:val="20"/>
                <w:szCs w:val="20"/>
                <w:color w:val="auto"/>
              </w:rPr>
            </w:pPr>
            <w:r>
              <w:rPr>
                <w:rFonts w:ascii="Arial" w:cs="Arial" w:eastAsia="Arial" w:hAnsi="Arial"/>
                <w:sz w:val="10"/>
                <w:szCs w:val="10"/>
                <w:color w:val="auto"/>
              </w:rPr>
              <w:t>Other liabilities</w:t>
            </w:r>
          </w:p>
        </w:tc>
        <w:tc>
          <w:tcPr>
            <w:tcW w:w="17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3.0</w:t>
            </w:r>
          </w:p>
        </w:tc>
        <w:tc>
          <w:tcPr>
            <w:tcW w:w="300" w:type="dxa"/>
            <w:vAlign w:val="bottom"/>
            <w:tcBorders>
              <w:bottom w:val="single" w:sz="8" w:color="CFF0FC"/>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3.3</w:t>
            </w:r>
          </w:p>
        </w:tc>
        <w:tc>
          <w:tcPr>
            <w:tcW w:w="120" w:type="dxa"/>
            <w:vAlign w:val="bottom"/>
            <w:tcBorders>
              <w:bottom w:val="single" w:sz="8" w:color="CFF0FC"/>
            </w:tcBorders>
          </w:tcPr>
          <w:p>
            <w:pPr>
              <w:spacing w:after="0"/>
              <w:rPr>
                <w:sz w:val="9"/>
                <w:szCs w:val="9"/>
                <w:color w:val="auto"/>
              </w:rPr>
            </w:pPr>
          </w:p>
        </w:tc>
      </w:tr>
      <w:tr>
        <w:trPr>
          <w:trHeight w:val="111"/>
        </w:trPr>
        <w:tc>
          <w:tcPr>
            <w:tcW w:w="6500" w:type="dxa"/>
            <w:vAlign w:val="bottom"/>
            <w:tcBorders>
              <w:bottom w:val="single" w:sz="8" w:color="CFF0FC"/>
            </w:tcBorders>
            <w:shd w:val="clear" w:color="auto" w:fill="CFF0FC"/>
          </w:tcPr>
          <w:p>
            <w:pPr>
              <w:ind w:left="160"/>
              <w:spacing w:after="0" w:line="103" w:lineRule="exact"/>
              <w:rPr>
                <w:sz w:val="20"/>
                <w:szCs w:val="20"/>
                <w:color w:val="auto"/>
              </w:rPr>
            </w:pPr>
            <w:r>
              <w:rPr>
                <w:rFonts w:ascii="Arial" w:cs="Arial" w:eastAsia="Arial" w:hAnsi="Arial"/>
                <w:sz w:val="10"/>
                <w:szCs w:val="10"/>
                <w:color w:val="auto"/>
              </w:rPr>
              <w:t>Total long-term liabilities</w:t>
            </w:r>
          </w:p>
        </w:tc>
        <w:tc>
          <w:tcPr>
            <w:tcW w:w="1760" w:type="dxa"/>
            <w:vAlign w:val="bottom"/>
            <w:tcBorders>
              <w:bottom w:val="single" w:sz="8" w:color="auto"/>
            </w:tcBorders>
            <w:shd w:val="clear" w:color="auto" w:fill="CFF0FC"/>
          </w:tcPr>
          <w:p>
            <w:pPr>
              <w:jc w:val="right"/>
              <w:ind w:right="165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258.3</w:t>
            </w:r>
          </w:p>
        </w:tc>
        <w:tc>
          <w:tcPr>
            <w:tcW w:w="300" w:type="dxa"/>
            <w:vAlign w:val="bottom"/>
            <w:tcBorders>
              <w:bottom w:val="single" w:sz="8" w:color="CFF0FC"/>
            </w:tcBorders>
            <w:shd w:val="clear" w:color="auto" w:fill="CFF0FC"/>
          </w:tcPr>
          <w:p>
            <w:pPr>
              <w:spacing w:after="0"/>
              <w:rPr>
                <w:sz w:val="9"/>
                <w:szCs w:val="9"/>
                <w:color w:val="auto"/>
              </w:rPr>
            </w:pPr>
          </w:p>
        </w:tc>
        <w:tc>
          <w:tcPr>
            <w:tcW w:w="380" w:type="dxa"/>
            <w:vAlign w:val="bottom"/>
            <w:tcBorders>
              <w:bottom w:val="single" w:sz="8" w:color="auto"/>
            </w:tcBorders>
            <w:shd w:val="clear" w:color="auto" w:fill="CFF0FC"/>
          </w:tcPr>
          <w:p>
            <w:pPr>
              <w:jc w:val="right"/>
              <w:ind w:right="315"/>
              <w:spacing w:after="0"/>
              <w:rPr>
                <w:sz w:val="20"/>
                <w:szCs w:val="20"/>
                <w:color w:val="auto"/>
              </w:rPr>
            </w:pPr>
            <w:r>
              <w:rPr>
                <w:rFonts w:ascii="Arial" w:cs="Arial" w:eastAsia="Arial" w:hAnsi="Arial"/>
                <w:sz w:val="5"/>
                <w:szCs w:val="5"/>
                <w:color w:val="auto"/>
                <w:w w:val="70"/>
              </w:rPr>
              <w:t>$</w:t>
            </w:r>
          </w:p>
        </w:tc>
        <w:tc>
          <w:tcPr>
            <w:tcW w:w="190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233.8</w:t>
            </w:r>
          </w:p>
        </w:tc>
        <w:tc>
          <w:tcPr>
            <w:tcW w:w="120" w:type="dxa"/>
            <w:vAlign w:val="bottom"/>
            <w:tcBorders>
              <w:bottom w:val="single" w:sz="8" w:color="CFF0FC"/>
            </w:tcBorders>
            <w:shd w:val="clear" w:color="auto" w:fill="CFF0FC"/>
          </w:tcPr>
          <w:p>
            <w:pPr>
              <w:spacing w:after="0"/>
              <w:rPr>
                <w:sz w:val="9"/>
                <w:szCs w:val="9"/>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Asset Retirement Obligations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Our asset retirement obligations (“ARO”) primarily relate to certain gas gathering pipelines, processing facilities and transportation assets.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Deferred Revenue</w:t>
      </w:r>
    </w:p>
    <w:p>
      <w:pPr>
        <w:spacing w:after="0" w:line="152"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We have certain long-term contractual arrangements for which we have received consideration that we are not yet able to recognize as revenue. The resulting deferred revenue will be recognized once all conditions for revenue recognition have been met.</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Deferred revenue includes $129.0 million of payments received from Vitol Americas Corp. (“Vitol”) (formerly known as Noble Americas Corp.), a subsidiary of Vitol US Holding Co., in 2016, 2017, and 2018 as part of an agreement (the “Splitter Agreement”) related to the construction and operation of a crude oil and condensate splitter. In December 2018, Vitol elected to terminate the Splitter Agreement. The Splitter Agreement provides that the first three annual payments are ours if Vitol elects to terminate, which Vitol disputes. The timing of revenue recognition related to the Splitter Agreement deferred revenue is currently dependent upon resolution of the dispute with Vitol. Deferred revenue also includes nonmonetary consideration received in a 2015 amendment to a gas gathering and processing agreement and consideration received for other construction activities of facilities connected to our systems.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changes in deferred revenue:</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7620" w:type="dxa"/>
            <w:vAlign w:val="bottom"/>
            <w:shd w:val="clear" w:color="auto" w:fill="CFF0FC"/>
          </w:tcPr>
          <w:p>
            <w:pPr>
              <w:spacing w:after="0"/>
              <w:rPr>
                <w:sz w:val="20"/>
                <w:szCs w:val="20"/>
                <w:color w:val="auto"/>
              </w:rPr>
            </w:pPr>
            <w:r>
              <w:rPr>
                <w:rFonts w:ascii="Arial" w:cs="Arial" w:eastAsia="Arial" w:hAnsi="Arial"/>
                <w:sz w:val="10"/>
                <w:szCs w:val="10"/>
                <w:color w:val="auto"/>
              </w:rPr>
              <w:t>Balance at December 31, 2018</w:t>
            </w:r>
          </w:p>
        </w:tc>
        <w:tc>
          <w:tcPr>
            <w:tcW w:w="640" w:type="dxa"/>
            <w:vAlign w:val="bottom"/>
            <w:gridSpan w:val="2"/>
            <w:shd w:val="clear" w:color="auto" w:fill="CFF0FC"/>
          </w:tcPr>
          <w:p>
            <w:pPr>
              <w:jc w:val="right"/>
              <w:ind w:right="595"/>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175.5</w:t>
            </w:r>
          </w:p>
        </w:tc>
        <w:tc>
          <w:tcPr>
            <w:tcW w:w="80" w:type="dxa"/>
            <w:vAlign w:val="bottom"/>
            <w:shd w:val="clear" w:color="auto" w:fill="CFF0FC"/>
          </w:tcPr>
          <w:p>
            <w:pPr>
              <w:spacing w:after="0"/>
              <w:rPr>
                <w:sz w:val="10"/>
                <w:szCs w:val="10"/>
                <w:color w:val="auto"/>
              </w:rPr>
            </w:pPr>
          </w:p>
        </w:tc>
      </w:tr>
      <w:tr>
        <w:trPr>
          <w:trHeight w:val="113"/>
        </w:trPr>
        <w:tc>
          <w:tcPr>
            <w:tcW w:w="7620" w:type="dxa"/>
            <w:vAlign w:val="bottom"/>
          </w:tcPr>
          <w:p>
            <w:pPr>
              <w:spacing w:after="0" w:line="113" w:lineRule="exact"/>
              <w:rPr>
                <w:sz w:val="20"/>
                <w:szCs w:val="20"/>
                <w:color w:val="auto"/>
              </w:rPr>
            </w:pPr>
            <w:r>
              <w:rPr>
                <w:rFonts w:ascii="Arial" w:cs="Arial" w:eastAsia="Arial" w:hAnsi="Arial"/>
                <w:sz w:val="10"/>
                <w:szCs w:val="10"/>
                <w:color w:val="auto"/>
              </w:rPr>
              <w:t>Additions</w:t>
            </w: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w:t>
            </w:r>
          </w:p>
        </w:tc>
      </w:tr>
      <w:tr>
        <w:trPr>
          <w:trHeight w:val="113"/>
        </w:trPr>
        <w:tc>
          <w:tcPr>
            <w:tcW w:w="762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Revenue recognized</w:t>
            </w:r>
          </w:p>
        </w:tc>
        <w:tc>
          <w:tcPr>
            <w:tcW w:w="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40"/>
              <w:spacing w:after="0" w:line="113" w:lineRule="exact"/>
              <w:rPr>
                <w:sz w:val="20"/>
                <w:szCs w:val="20"/>
                <w:color w:val="auto"/>
              </w:rPr>
            </w:pPr>
            <w:r>
              <w:rPr>
                <w:rFonts w:ascii="Arial" w:cs="Arial" w:eastAsia="Arial" w:hAnsi="Arial"/>
                <w:sz w:val="10"/>
                <w:szCs w:val="10"/>
                <w:color w:val="auto"/>
              </w:rPr>
              <w:t>(0.9)</w:t>
            </w:r>
          </w:p>
        </w:tc>
      </w:tr>
      <w:tr>
        <w:trPr>
          <w:trHeight w:val="111"/>
        </w:trPr>
        <w:tc>
          <w:tcPr>
            <w:tcW w:w="7620" w:type="dxa"/>
            <w:vAlign w:val="bottom"/>
          </w:tcPr>
          <w:p>
            <w:pPr>
              <w:spacing w:after="0" w:line="103" w:lineRule="exact"/>
              <w:rPr>
                <w:sz w:val="20"/>
                <w:szCs w:val="20"/>
                <w:color w:val="auto"/>
              </w:rPr>
            </w:pPr>
            <w:r>
              <w:rPr>
                <w:rFonts w:ascii="Arial" w:cs="Arial" w:eastAsia="Arial" w:hAnsi="Arial"/>
                <w:sz w:val="10"/>
                <w:szCs w:val="10"/>
                <w:color w:val="auto"/>
              </w:rPr>
              <w:t>Balance at March 31, 2019</w:t>
            </w:r>
          </w:p>
        </w:tc>
        <w:tc>
          <w:tcPr>
            <w:tcW w:w="20" w:type="dxa"/>
            <w:vAlign w:val="bottom"/>
            <w:tcBorders>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
                <w:szCs w:val="1"/>
                <w:color w:val="auto"/>
                <w:w w:val="4294967288"/>
              </w:rPr>
              <w:t>$</w:t>
            </w:r>
          </w:p>
        </w:tc>
        <w:tc>
          <w:tcPr>
            <w:tcW w:w="84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174.6</w:t>
            </w:r>
          </w:p>
        </w:tc>
        <w:tc>
          <w:tcPr>
            <w:tcW w:w="80" w:type="dxa"/>
            <w:vAlign w:val="bottom"/>
          </w:tcPr>
          <w:p>
            <w:pPr>
              <w:spacing w:after="0"/>
              <w:rPr>
                <w:sz w:val="9"/>
                <w:szCs w:val="9"/>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color w:val="auto"/>
        </w:rPr>
        <w:t>Note 11 – Leases</w:t>
      </w:r>
    </w:p>
    <w:p>
      <w:pPr>
        <w:spacing w:after="0" w:line="156"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We have non-cancellable operating leases primarily associated with our office facilities, rail assets, land, and storage and terminal assets. We have finance leases primarily associated with our tractors and vehicles. Our leases have remaining lease terms of 1 to 6 years, some of which include options to extend the lease term for up to 10 years.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The balances of right-of-use assets and liabilities of finance leases and operating leases, and their locations on our Consolidated Balance Sheets are as follows: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18"/>
        </w:trPr>
        <w:tc>
          <w:tcPr>
            <w:tcW w:w="29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Right-of-use assets</w:t>
            </w:r>
          </w:p>
        </w:tc>
        <w:tc>
          <w:tcPr>
            <w:tcW w:w="1920" w:type="dxa"/>
            <w:vAlign w:val="bottom"/>
          </w:tcPr>
          <w:p>
            <w:pPr>
              <w:spacing w:after="0"/>
              <w:rPr>
                <w:sz w:val="10"/>
                <w:szCs w:val="10"/>
                <w:color w:val="auto"/>
              </w:rPr>
            </w:pPr>
          </w:p>
        </w:tc>
        <w:tc>
          <w:tcPr>
            <w:tcW w:w="2820" w:type="dxa"/>
            <w:vAlign w:val="bottom"/>
            <w:tcBorders>
              <w:bottom w:val="single" w:sz="8" w:color="auto"/>
            </w:tcBorders>
          </w:tcPr>
          <w:p>
            <w:pPr>
              <w:ind w:left="900"/>
              <w:spacing w:after="0"/>
              <w:rPr>
                <w:sz w:val="20"/>
                <w:szCs w:val="20"/>
                <w:color w:val="auto"/>
              </w:rPr>
            </w:pPr>
            <w:r>
              <w:rPr>
                <w:rFonts w:ascii="Arial" w:cs="Arial" w:eastAsia="Arial" w:hAnsi="Arial"/>
                <w:sz w:val="10"/>
                <w:szCs w:val="10"/>
                <w:b w:val="1"/>
                <w:bCs w:val="1"/>
                <w:color w:val="auto"/>
              </w:rPr>
              <w:t>Balance Sheet Location</w:t>
            </w: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0"/>
                <w:szCs w:val="10"/>
                <w:b w:val="1"/>
                <w:bCs w:val="1"/>
                <w:color w:val="auto"/>
              </w:rPr>
              <w:t>March 31, 2019</w:t>
            </w:r>
          </w:p>
        </w:tc>
        <w:tc>
          <w:tcPr>
            <w:tcW w:w="0" w:type="dxa"/>
            <w:vAlign w:val="bottom"/>
          </w:tcPr>
          <w:p>
            <w:pPr>
              <w:spacing w:after="0"/>
              <w:rPr>
                <w:sz w:val="1"/>
                <w:szCs w:val="1"/>
                <w:color w:val="auto"/>
              </w:rPr>
            </w:pPr>
          </w:p>
        </w:tc>
      </w:tr>
      <w:tr>
        <w:trPr>
          <w:trHeight w:val="102"/>
        </w:trPr>
        <w:tc>
          <w:tcPr>
            <w:tcW w:w="2920" w:type="dxa"/>
            <w:vAlign w:val="bottom"/>
            <w:gridSpan w:val="2"/>
            <w:vMerge w:val="continue"/>
          </w:tcPr>
          <w:p>
            <w:pPr>
              <w:spacing w:after="0"/>
              <w:rPr>
                <w:sz w:val="8"/>
                <w:szCs w:val="8"/>
                <w:color w:val="auto"/>
              </w:rPr>
            </w:pPr>
          </w:p>
        </w:tc>
        <w:tc>
          <w:tcPr>
            <w:tcW w:w="19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00" w:type="dxa"/>
            <w:vAlign w:val="bottom"/>
            <w:shd w:val="clear" w:color="auto" w:fill="CFF0FC"/>
          </w:tcPr>
          <w:p>
            <w:pPr>
              <w:ind w:left="40"/>
              <w:spacing w:after="0" w:line="113" w:lineRule="exact"/>
              <w:rPr>
                <w:sz w:val="20"/>
                <w:szCs w:val="20"/>
                <w:color w:val="auto"/>
              </w:rPr>
            </w:pPr>
            <w:r>
              <w:rPr>
                <w:rFonts w:ascii="Arial" w:cs="Arial" w:eastAsia="Arial" w:hAnsi="Arial"/>
                <w:sz w:val="10"/>
                <w:szCs w:val="10"/>
                <w:color w:val="auto"/>
              </w:rPr>
              <w:t>Operating leases, gross</w:t>
            </w:r>
          </w:p>
        </w:tc>
        <w:tc>
          <w:tcPr>
            <w:tcW w:w="4740" w:type="dxa"/>
            <w:vAlign w:val="bottom"/>
            <w:gridSpan w:val="2"/>
            <w:shd w:val="clear" w:color="auto" w:fill="CFF0FC"/>
          </w:tcPr>
          <w:p>
            <w:pPr>
              <w:ind w:left="1920"/>
              <w:spacing w:after="0" w:line="113" w:lineRule="exact"/>
              <w:rPr>
                <w:sz w:val="20"/>
                <w:szCs w:val="20"/>
                <w:color w:val="auto"/>
              </w:rPr>
            </w:pPr>
            <w:r>
              <w:rPr>
                <w:rFonts w:ascii="Arial" w:cs="Arial" w:eastAsia="Arial" w:hAnsi="Arial"/>
                <w:sz w:val="10"/>
                <w:szCs w:val="10"/>
                <w:color w:val="auto"/>
              </w:rPr>
              <w:t>Other long-term assets</w:t>
            </w:r>
          </w:p>
        </w:tc>
        <w:tc>
          <w:tcPr>
            <w:tcW w:w="30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1240" w:type="dxa"/>
            <w:vAlign w:val="bottom"/>
            <w:shd w:val="clear" w:color="auto" w:fill="CFF0FC"/>
          </w:tcPr>
          <w:p>
            <w:pPr>
              <w:jc w:val="right"/>
              <w:ind w:right="50"/>
              <w:spacing w:after="0" w:line="113" w:lineRule="exact"/>
              <w:rPr>
                <w:sz w:val="20"/>
                <w:szCs w:val="20"/>
                <w:color w:val="auto"/>
              </w:rPr>
            </w:pPr>
            <w:r>
              <w:rPr>
                <w:rFonts w:ascii="Arial" w:cs="Arial" w:eastAsia="Arial" w:hAnsi="Arial"/>
                <w:sz w:val="10"/>
                <w:szCs w:val="10"/>
                <w:color w:val="auto"/>
              </w:rPr>
              <w:t>25.2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00" w:type="dxa"/>
            <w:vAlign w:val="bottom"/>
          </w:tcPr>
          <w:p>
            <w:pPr>
              <w:ind w:left="40"/>
              <w:spacing w:after="0" w:line="113" w:lineRule="exact"/>
              <w:rPr>
                <w:sz w:val="20"/>
                <w:szCs w:val="20"/>
                <w:color w:val="auto"/>
              </w:rPr>
            </w:pPr>
            <w:r>
              <w:rPr>
                <w:rFonts w:ascii="Arial" w:cs="Arial" w:eastAsia="Arial" w:hAnsi="Arial"/>
                <w:sz w:val="10"/>
                <w:szCs w:val="10"/>
                <w:color w:val="auto"/>
              </w:rPr>
              <w:t>Finance leases, gross</w:t>
            </w:r>
          </w:p>
        </w:tc>
        <w:tc>
          <w:tcPr>
            <w:tcW w:w="4740" w:type="dxa"/>
            <w:vAlign w:val="bottom"/>
            <w:gridSpan w:val="2"/>
          </w:tcPr>
          <w:p>
            <w:pPr>
              <w:ind w:left="1920"/>
              <w:spacing w:after="0" w:line="113" w:lineRule="exact"/>
              <w:rPr>
                <w:sz w:val="20"/>
                <w:szCs w:val="20"/>
                <w:color w:val="auto"/>
              </w:rPr>
            </w:pPr>
            <w:r>
              <w:rPr>
                <w:rFonts w:ascii="Arial" w:cs="Arial" w:eastAsia="Arial" w:hAnsi="Arial"/>
                <w:sz w:val="10"/>
                <w:szCs w:val="10"/>
                <w:color w:val="auto"/>
              </w:rPr>
              <w:t>Property, plant and equipment</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jc w:val="right"/>
              <w:ind w:right="50"/>
              <w:spacing w:after="0" w:line="113" w:lineRule="exact"/>
              <w:rPr>
                <w:sz w:val="20"/>
                <w:szCs w:val="20"/>
                <w:color w:val="auto"/>
              </w:rPr>
            </w:pPr>
            <w:r>
              <w:rPr>
                <w:rFonts w:ascii="Arial" w:cs="Arial" w:eastAsia="Arial" w:hAnsi="Arial"/>
                <w:sz w:val="10"/>
                <w:szCs w:val="10"/>
                <w:color w:val="auto"/>
              </w:rPr>
              <w:t>40.9</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2900" w:type="dxa"/>
            <w:vAlign w:val="bottom"/>
            <w:shd w:val="clear" w:color="auto" w:fill="CFF0FC"/>
          </w:tcPr>
          <w:p>
            <w:pPr>
              <w:spacing w:after="0"/>
              <w:rPr>
                <w:sz w:val="9"/>
                <w:szCs w:val="9"/>
                <w:color w:val="auto"/>
              </w:rPr>
            </w:pPr>
          </w:p>
        </w:tc>
        <w:tc>
          <w:tcPr>
            <w:tcW w:w="1920" w:type="dxa"/>
            <w:vAlign w:val="bottom"/>
            <w:shd w:val="clear" w:color="auto" w:fill="CFF0FC"/>
          </w:tcPr>
          <w:p>
            <w:pPr>
              <w:spacing w:after="0"/>
              <w:rPr>
                <w:sz w:val="9"/>
                <w:szCs w:val="9"/>
                <w:color w:val="auto"/>
              </w:rPr>
            </w:pPr>
          </w:p>
        </w:tc>
        <w:tc>
          <w:tcPr>
            <w:tcW w:w="2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900" w:type="dxa"/>
            <w:vAlign w:val="bottom"/>
          </w:tcPr>
          <w:p>
            <w:pPr>
              <w:spacing w:after="0" w:line="113" w:lineRule="exact"/>
              <w:rPr>
                <w:sz w:val="20"/>
                <w:szCs w:val="20"/>
                <w:color w:val="auto"/>
              </w:rPr>
            </w:pPr>
            <w:r>
              <w:rPr>
                <w:rFonts w:ascii="Arial" w:cs="Arial" w:eastAsia="Arial" w:hAnsi="Arial"/>
                <w:sz w:val="10"/>
                <w:szCs w:val="10"/>
                <w:b w:val="1"/>
                <w:bCs w:val="1"/>
                <w:color w:val="auto"/>
              </w:rPr>
              <w:t>Lease liabilities</w:t>
            </w:r>
          </w:p>
        </w:tc>
        <w:tc>
          <w:tcPr>
            <w:tcW w:w="19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0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Current:</w:t>
            </w:r>
          </w:p>
        </w:tc>
        <w:tc>
          <w:tcPr>
            <w:tcW w:w="1920" w:type="dxa"/>
            <w:vAlign w:val="bottom"/>
            <w:shd w:val="clear" w:color="auto" w:fill="CFF0FC"/>
          </w:tcPr>
          <w:p>
            <w:pPr>
              <w:spacing w:after="0"/>
              <w:rPr>
                <w:sz w:val="9"/>
                <w:szCs w:val="9"/>
                <w:color w:val="auto"/>
              </w:rPr>
            </w:pPr>
          </w:p>
        </w:tc>
        <w:tc>
          <w:tcPr>
            <w:tcW w:w="2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00" w:type="dxa"/>
            <w:vAlign w:val="bottom"/>
          </w:tcPr>
          <w:p>
            <w:pPr>
              <w:ind w:left="40"/>
              <w:spacing w:after="0" w:line="113" w:lineRule="exact"/>
              <w:rPr>
                <w:sz w:val="20"/>
                <w:szCs w:val="20"/>
                <w:color w:val="auto"/>
              </w:rPr>
            </w:pPr>
            <w:r>
              <w:rPr>
                <w:rFonts w:ascii="Arial" w:cs="Arial" w:eastAsia="Arial" w:hAnsi="Arial"/>
                <w:sz w:val="10"/>
                <w:szCs w:val="10"/>
                <w:color w:val="auto"/>
              </w:rPr>
              <w:t>Operating leases</w:t>
            </w:r>
          </w:p>
        </w:tc>
        <w:tc>
          <w:tcPr>
            <w:tcW w:w="4740" w:type="dxa"/>
            <w:vAlign w:val="bottom"/>
            <w:gridSpan w:val="2"/>
          </w:tcPr>
          <w:p>
            <w:pPr>
              <w:ind w:left="1920"/>
              <w:spacing w:after="0" w:line="113" w:lineRule="exact"/>
              <w:rPr>
                <w:sz w:val="20"/>
                <w:szCs w:val="20"/>
                <w:color w:val="auto"/>
              </w:rPr>
            </w:pPr>
            <w:r>
              <w:rPr>
                <w:rFonts w:ascii="Arial" w:cs="Arial" w:eastAsia="Arial" w:hAnsi="Arial"/>
                <w:sz w:val="10"/>
                <w:szCs w:val="10"/>
                <w:color w:val="auto"/>
              </w:rPr>
              <w:t>Accounts payable and accrued liabilities</w:t>
            </w:r>
          </w:p>
        </w:tc>
        <w:tc>
          <w:tcPr>
            <w:tcW w:w="3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1240" w:type="dxa"/>
            <w:vAlign w:val="bottom"/>
          </w:tcPr>
          <w:p>
            <w:pPr>
              <w:jc w:val="right"/>
              <w:ind w:right="50"/>
              <w:spacing w:after="0" w:line="113" w:lineRule="exact"/>
              <w:rPr>
                <w:sz w:val="20"/>
                <w:szCs w:val="20"/>
                <w:color w:val="auto"/>
              </w:rPr>
            </w:pPr>
            <w:r>
              <w:rPr>
                <w:rFonts w:ascii="Arial" w:cs="Arial" w:eastAsia="Arial" w:hAnsi="Arial"/>
                <w:sz w:val="10"/>
                <w:szCs w:val="10"/>
                <w:color w:val="auto"/>
              </w:rPr>
              <w:t>6.6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00" w:type="dxa"/>
            <w:vAlign w:val="bottom"/>
            <w:shd w:val="clear" w:color="auto" w:fill="CFF0FC"/>
          </w:tcPr>
          <w:p>
            <w:pPr>
              <w:ind w:left="40"/>
              <w:spacing w:after="0" w:line="113" w:lineRule="exact"/>
              <w:rPr>
                <w:sz w:val="20"/>
                <w:szCs w:val="20"/>
                <w:color w:val="auto"/>
              </w:rPr>
            </w:pPr>
            <w:r>
              <w:rPr>
                <w:rFonts w:ascii="Arial" w:cs="Arial" w:eastAsia="Arial" w:hAnsi="Arial"/>
                <w:sz w:val="10"/>
                <w:szCs w:val="10"/>
                <w:color w:val="auto"/>
              </w:rPr>
              <w:t>Finance leases</w:t>
            </w:r>
          </w:p>
        </w:tc>
        <w:tc>
          <w:tcPr>
            <w:tcW w:w="4740" w:type="dxa"/>
            <w:vAlign w:val="bottom"/>
            <w:gridSpan w:val="2"/>
            <w:shd w:val="clear" w:color="auto" w:fill="CFF0FC"/>
          </w:tcPr>
          <w:p>
            <w:pPr>
              <w:ind w:left="1920"/>
              <w:spacing w:after="0" w:line="113" w:lineRule="exact"/>
              <w:rPr>
                <w:sz w:val="20"/>
                <w:szCs w:val="20"/>
                <w:color w:val="auto"/>
              </w:rPr>
            </w:pPr>
            <w:r>
              <w:rPr>
                <w:rFonts w:ascii="Arial" w:cs="Arial" w:eastAsia="Arial" w:hAnsi="Arial"/>
                <w:sz w:val="10"/>
                <w:szCs w:val="10"/>
                <w:color w:val="auto"/>
              </w:rPr>
              <w:t>Current debt obligations</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40" w:type="dxa"/>
            <w:vAlign w:val="bottom"/>
            <w:shd w:val="clear" w:color="auto" w:fill="CFF0FC"/>
          </w:tcPr>
          <w:p>
            <w:pPr>
              <w:jc w:val="right"/>
              <w:ind w:right="50"/>
              <w:spacing w:after="0" w:line="113" w:lineRule="exact"/>
              <w:rPr>
                <w:sz w:val="20"/>
                <w:szCs w:val="20"/>
                <w:color w:val="auto"/>
              </w:rPr>
            </w:pPr>
            <w:r>
              <w:rPr>
                <w:rFonts w:ascii="Arial" w:cs="Arial" w:eastAsia="Arial" w:hAnsi="Arial"/>
                <w:sz w:val="10"/>
                <w:szCs w:val="10"/>
                <w:color w:val="auto"/>
              </w:rPr>
              <w:t>10.5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00" w:type="dxa"/>
            <w:vAlign w:val="bottom"/>
          </w:tcPr>
          <w:p>
            <w:pPr>
              <w:spacing w:after="0" w:line="113" w:lineRule="exact"/>
              <w:rPr>
                <w:sz w:val="20"/>
                <w:szCs w:val="20"/>
                <w:color w:val="auto"/>
              </w:rPr>
            </w:pPr>
            <w:r>
              <w:rPr>
                <w:rFonts w:ascii="Arial" w:cs="Arial" w:eastAsia="Arial" w:hAnsi="Arial"/>
                <w:sz w:val="10"/>
                <w:szCs w:val="10"/>
                <w:color w:val="auto"/>
              </w:rPr>
              <w:t>Non-current:</w:t>
            </w:r>
          </w:p>
        </w:tc>
        <w:tc>
          <w:tcPr>
            <w:tcW w:w="19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00" w:type="dxa"/>
            <w:vAlign w:val="bottom"/>
            <w:shd w:val="clear" w:color="auto" w:fill="CFF0FC"/>
          </w:tcPr>
          <w:p>
            <w:pPr>
              <w:ind w:left="40"/>
              <w:spacing w:after="0" w:line="113" w:lineRule="exact"/>
              <w:rPr>
                <w:sz w:val="20"/>
                <w:szCs w:val="20"/>
                <w:color w:val="auto"/>
              </w:rPr>
            </w:pPr>
            <w:r>
              <w:rPr>
                <w:rFonts w:ascii="Arial" w:cs="Arial" w:eastAsia="Arial" w:hAnsi="Arial"/>
                <w:sz w:val="10"/>
                <w:szCs w:val="10"/>
                <w:color w:val="auto"/>
              </w:rPr>
              <w:t>Operating leases</w:t>
            </w:r>
          </w:p>
        </w:tc>
        <w:tc>
          <w:tcPr>
            <w:tcW w:w="4740" w:type="dxa"/>
            <w:vAlign w:val="bottom"/>
            <w:gridSpan w:val="2"/>
            <w:shd w:val="clear" w:color="auto" w:fill="CFF0FC"/>
          </w:tcPr>
          <w:p>
            <w:pPr>
              <w:ind w:left="1920"/>
              <w:spacing w:after="0" w:line="113" w:lineRule="exact"/>
              <w:rPr>
                <w:sz w:val="20"/>
                <w:szCs w:val="20"/>
                <w:color w:val="auto"/>
              </w:rPr>
            </w:pPr>
            <w:r>
              <w:rPr>
                <w:rFonts w:ascii="Arial" w:cs="Arial" w:eastAsia="Arial" w:hAnsi="Arial"/>
                <w:sz w:val="10"/>
                <w:szCs w:val="10"/>
                <w:color w:val="auto"/>
              </w:rPr>
              <w:t>Other long-term liabilities</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40" w:type="dxa"/>
            <w:vAlign w:val="bottom"/>
            <w:shd w:val="clear" w:color="auto" w:fill="CFF0FC"/>
          </w:tcPr>
          <w:p>
            <w:pPr>
              <w:jc w:val="right"/>
              <w:ind w:right="50"/>
              <w:spacing w:after="0" w:line="113" w:lineRule="exact"/>
              <w:rPr>
                <w:sz w:val="20"/>
                <w:szCs w:val="20"/>
                <w:color w:val="auto"/>
              </w:rPr>
            </w:pPr>
            <w:r>
              <w:rPr>
                <w:rFonts w:ascii="Arial" w:cs="Arial" w:eastAsia="Arial" w:hAnsi="Arial"/>
                <w:sz w:val="10"/>
                <w:szCs w:val="10"/>
                <w:color w:val="auto"/>
              </w:rPr>
              <w:t>17.3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900" w:type="dxa"/>
            <w:vAlign w:val="bottom"/>
          </w:tcPr>
          <w:p>
            <w:pPr>
              <w:ind w:left="40"/>
              <w:spacing w:after="0"/>
              <w:rPr>
                <w:sz w:val="20"/>
                <w:szCs w:val="20"/>
                <w:color w:val="auto"/>
              </w:rPr>
            </w:pPr>
            <w:r>
              <w:rPr>
                <w:rFonts w:ascii="Arial" w:cs="Arial" w:eastAsia="Arial" w:hAnsi="Arial"/>
                <w:sz w:val="10"/>
                <w:szCs w:val="10"/>
                <w:color w:val="auto"/>
              </w:rPr>
              <w:t>Finance leases</w:t>
            </w:r>
          </w:p>
        </w:tc>
        <w:tc>
          <w:tcPr>
            <w:tcW w:w="4740" w:type="dxa"/>
            <w:vAlign w:val="bottom"/>
            <w:gridSpan w:val="2"/>
          </w:tcPr>
          <w:p>
            <w:pPr>
              <w:ind w:left="1920"/>
              <w:spacing w:after="0"/>
              <w:rPr>
                <w:sz w:val="20"/>
                <w:szCs w:val="20"/>
                <w:color w:val="auto"/>
              </w:rPr>
            </w:pPr>
            <w:r>
              <w:rPr>
                <w:rFonts w:ascii="Arial" w:cs="Arial" w:eastAsia="Arial" w:hAnsi="Arial"/>
                <w:sz w:val="10"/>
                <w:szCs w:val="10"/>
                <w:color w:val="auto"/>
              </w:rPr>
              <w:t>Long-term debt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ind w:right="50"/>
              <w:spacing w:after="0"/>
              <w:rPr>
                <w:sz w:val="20"/>
                <w:szCs w:val="20"/>
                <w:color w:val="auto"/>
              </w:rPr>
            </w:pPr>
            <w:r>
              <w:rPr>
                <w:rFonts w:ascii="Arial" w:cs="Arial" w:eastAsia="Arial" w:hAnsi="Arial"/>
                <w:sz w:val="10"/>
                <w:szCs w:val="10"/>
                <w:color w:val="auto"/>
              </w:rPr>
              <w:t>27.7</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right="40"/>
        <w:spacing w:after="0" w:line="344" w:lineRule="auto"/>
        <w:rPr>
          <w:sz w:val="20"/>
          <w:szCs w:val="20"/>
          <w:color w:val="auto"/>
        </w:rPr>
      </w:pPr>
      <w:r>
        <w:rPr>
          <w:rFonts w:ascii="Arial" w:cs="Arial" w:eastAsia="Arial" w:hAnsi="Arial"/>
          <w:sz w:val="11"/>
          <w:szCs w:val="11"/>
          <w:color w:val="auto"/>
        </w:rPr>
        <w:t>Operating lease costs and short-term lease costs are included in Operating expenses or General and administrative expense in our Consolidated Statements of Operations, depending on the nature of the leases. Finance lease costs are included in Depreciation and amortization expense and Interest income (expense) in our Consolidated Statements of Operations. The components of lease expense were as follows:</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18"/>
        </w:trPr>
        <w:tc>
          <w:tcPr>
            <w:tcW w:w="4280" w:type="dxa"/>
            <w:vAlign w:val="bottom"/>
            <w:tcBorders>
              <w:bottom w:val="single" w:sz="8" w:color="CFF0FC"/>
            </w:tcBorders>
          </w:tcPr>
          <w:p>
            <w:pPr>
              <w:spacing w:after="0"/>
              <w:rPr>
                <w:sz w:val="10"/>
                <w:szCs w:val="10"/>
                <w:color w:val="auto"/>
              </w:rPr>
            </w:pPr>
          </w:p>
        </w:tc>
        <w:tc>
          <w:tcPr>
            <w:tcW w:w="2940" w:type="dxa"/>
            <w:vAlign w:val="bottom"/>
            <w:tcBorders>
              <w:bottom w:val="single" w:sz="8" w:color="CFF0FC"/>
            </w:tcBorders>
          </w:tcPr>
          <w:p>
            <w:pPr>
              <w:spacing w:after="0"/>
              <w:rPr>
                <w:sz w:val="10"/>
                <w:szCs w:val="10"/>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Three Months Ended March 31, 2019</w:t>
            </w:r>
          </w:p>
        </w:tc>
      </w:tr>
      <w:tr>
        <w:trPr>
          <w:trHeight w:val="102"/>
        </w:trPr>
        <w:tc>
          <w:tcPr>
            <w:tcW w:w="4280" w:type="dxa"/>
            <w:vAlign w:val="bottom"/>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Lease cost</w:t>
            </w:r>
          </w:p>
        </w:tc>
        <w:tc>
          <w:tcPr>
            <w:tcW w:w="2940" w:type="dxa"/>
            <w:vAlign w:val="bottom"/>
            <w:shd w:val="clear" w:color="auto" w:fill="CFF0FC"/>
          </w:tcPr>
          <w:p>
            <w:pPr>
              <w:spacing w:after="0"/>
              <w:rPr>
                <w:sz w:val="8"/>
                <w:szCs w:val="8"/>
                <w:color w:val="auto"/>
              </w:rPr>
            </w:pPr>
          </w:p>
        </w:tc>
        <w:tc>
          <w:tcPr>
            <w:tcW w:w="1960" w:type="dxa"/>
            <w:vAlign w:val="bottom"/>
            <w:shd w:val="clear" w:color="auto" w:fill="CFF0FC"/>
          </w:tcPr>
          <w:p>
            <w:pPr>
              <w:spacing w:after="0"/>
              <w:rPr>
                <w:sz w:val="8"/>
                <w:szCs w:val="8"/>
                <w:color w:val="auto"/>
              </w:rPr>
            </w:pPr>
          </w:p>
        </w:tc>
      </w:tr>
      <w:tr>
        <w:trPr>
          <w:trHeight w:val="113"/>
        </w:trPr>
        <w:tc>
          <w:tcPr>
            <w:tcW w:w="4280" w:type="dxa"/>
            <w:vAlign w:val="bottom"/>
          </w:tcPr>
          <w:p>
            <w:pPr>
              <w:spacing w:after="0" w:line="113" w:lineRule="exact"/>
              <w:rPr>
                <w:sz w:val="20"/>
                <w:szCs w:val="20"/>
                <w:color w:val="auto"/>
              </w:rPr>
            </w:pPr>
            <w:r>
              <w:rPr>
                <w:rFonts w:ascii="Arial" w:cs="Arial" w:eastAsia="Arial" w:hAnsi="Arial"/>
                <w:sz w:val="10"/>
                <w:szCs w:val="10"/>
                <w:color w:val="auto"/>
              </w:rPr>
              <w:t>Operating lease cost</w:t>
            </w:r>
          </w:p>
        </w:tc>
        <w:tc>
          <w:tcPr>
            <w:tcW w:w="2940" w:type="dxa"/>
            <w:vAlign w:val="bottom"/>
          </w:tcPr>
          <w:p>
            <w:pPr>
              <w:jc w:val="right"/>
              <w:ind w:right="150"/>
              <w:spacing w:after="0" w:line="113" w:lineRule="exact"/>
              <w:rPr>
                <w:sz w:val="20"/>
                <w:szCs w:val="20"/>
                <w:color w:val="auto"/>
              </w:rPr>
            </w:pPr>
            <w:r>
              <w:rPr>
                <w:rFonts w:ascii="Arial" w:cs="Arial" w:eastAsia="Arial" w:hAnsi="Arial"/>
                <w:sz w:val="10"/>
                <w:szCs w:val="10"/>
                <w:color w:val="auto"/>
              </w:rPr>
              <w:t>$</w:t>
            </w:r>
          </w:p>
        </w:tc>
        <w:tc>
          <w:tcPr>
            <w:tcW w:w="1960" w:type="dxa"/>
            <w:vAlign w:val="bottom"/>
          </w:tcPr>
          <w:p>
            <w:pPr>
              <w:jc w:val="right"/>
              <w:spacing w:after="0" w:line="113" w:lineRule="exact"/>
              <w:rPr>
                <w:sz w:val="20"/>
                <w:szCs w:val="20"/>
                <w:color w:val="auto"/>
              </w:rPr>
            </w:pPr>
            <w:r>
              <w:rPr>
                <w:rFonts w:ascii="Arial" w:cs="Arial" w:eastAsia="Arial" w:hAnsi="Arial"/>
                <w:sz w:val="10"/>
                <w:szCs w:val="10"/>
                <w:color w:val="auto"/>
              </w:rPr>
              <w:t>1.9</w:t>
            </w:r>
          </w:p>
        </w:tc>
      </w:tr>
      <w:tr>
        <w:trPr>
          <w:trHeight w:val="113"/>
        </w:trPr>
        <w:tc>
          <w:tcPr>
            <w:tcW w:w="42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Short-term lease cost</w:t>
            </w:r>
          </w:p>
        </w:tc>
        <w:tc>
          <w:tcPr>
            <w:tcW w:w="2940" w:type="dxa"/>
            <w:vAlign w:val="bottom"/>
            <w:shd w:val="clear" w:color="auto" w:fill="CFF0FC"/>
          </w:tcPr>
          <w:p>
            <w:pPr>
              <w:spacing w:after="0"/>
              <w:rPr>
                <w:sz w:val="9"/>
                <w:szCs w:val="9"/>
                <w:color w:val="auto"/>
              </w:rPr>
            </w:pPr>
          </w:p>
        </w:tc>
        <w:tc>
          <w:tcPr>
            <w:tcW w:w="1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7.6</w:t>
            </w:r>
          </w:p>
        </w:tc>
      </w:tr>
      <w:tr>
        <w:trPr>
          <w:trHeight w:val="113"/>
        </w:trPr>
        <w:tc>
          <w:tcPr>
            <w:tcW w:w="4280" w:type="dxa"/>
            <w:vAlign w:val="bottom"/>
          </w:tcPr>
          <w:p>
            <w:pPr>
              <w:spacing w:after="0" w:line="113" w:lineRule="exact"/>
              <w:rPr>
                <w:sz w:val="20"/>
                <w:szCs w:val="20"/>
                <w:color w:val="auto"/>
              </w:rPr>
            </w:pPr>
            <w:r>
              <w:rPr>
                <w:rFonts w:ascii="Arial" w:cs="Arial" w:eastAsia="Arial" w:hAnsi="Arial"/>
                <w:sz w:val="10"/>
                <w:szCs w:val="10"/>
                <w:color w:val="auto"/>
              </w:rPr>
              <w:t>Variable lease cost</w:t>
            </w:r>
          </w:p>
        </w:tc>
        <w:tc>
          <w:tcPr>
            <w:tcW w:w="2940" w:type="dxa"/>
            <w:vAlign w:val="bottom"/>
          </w:tcPr>
          <w:p>
            <w:pPr>
              <w:spacing w:after="0"/>
              <w:rPr>
                <w:sz w:val="9"/>
                <w:szCs w:val="9"/>
                <w:color w:val="auto"/>
              </w:rPr>
            </w:pPr>
          </w:p>
        </w:tc>
        <w:tc>
          <w:tcPr>
            <w:tcW w:w="1960" w:type="dxa"/>
            <w:vAlign w:val="bottom"/>
          </w:tcPr>
          <w:p>
            <w:pPr>
              <w:jc w:val="right"/>
              <w:spacing w:after="0" w:line="113" w:lineRule="exact"/>
              <w:rPr>
                <w:sz w:val="20"/>
                <w:szCs w:val="20"/>
                <w:color w:val="auto"/>
              </w:rPr>
            </w:pPr>
            <w:r>
              <w:rPr>
                <w:rFonts w:ascii="Arial" w:cs="Arial" w:eastAsia="Arial" w:hAnsi="Arial"/>
                <w:sz w:val="10"/>
                <w:szCs w:val="10"/>
                <w:color w:val="auto"/>
              </w:rPr>
              <w:t>1.3</w:t>
            </w:r>
          </w:p>
        </w:tc>
      </w:tr>
      <w:tr>
        <w:trPr>
          <w:trHeight w:val="113"/>
        </w:trPr>
        <w:tc>
          <w:tcPr>
            <w:tcW w:w="42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Finance lease cost</w:t>
            </w:r>
          </w:p>
        </w:tc>
        <w:tc>
          <w:tcPr>
            <w:tcW w:w="2940" w:type="dxa"/>
            <w:vAlign w:val="bottom"/>
            <w:shd w:val="clear" w:color="auto" w:fill="CFF0FC"/>
          </w:tcPr>
          <w:p>
            <w:pPr>
              <w:spacing w:after="0"/>
              <w:rPr>
                <w:sz w:val="9"/>
                <w:szCs w:val="9"/>
                <w:color w:val="auto"/>
              </w:rPr>
            </w:pPr>
          </w:p>
        </w:tc>
        <w:tc>
          <w:tcPr>
            <w:tcW w:w="1960" w:type="dxa"/>
            <w:vAlign w:val="bottom"/>
            <w:shd w:val="clear" w:color="auto" w:fill="CFF0FC"/>
          </w:tcPr>
          <w:p>
            <w:pPr>
              <w:spacing w:after="0"/>
              <w:rPr>
                <w:sz w:val="9"/>
                <w:szCs w:val="9"/>
                <w:color w:val="auto"/>
              </w:rPr>
            </w:pPr>
          </w:p>
        </w:tc>
      </w:tr>
      <w:tr>
        <w:trPr>
          <w:trHeight w:val="113"/>
        </w:trPr>
        <w:tc>
          <w:tcPr>
            <w:tcW w:w="4280" w:type="dxa"/>
            <w:vAlign w:val="bottom"/>
          </w:tcPr>
          <w:p>
            <w:pPr>
              <w:ind w:left="180"/>
              <w:spacing w:after="0" w:line="113" w:lineRule="exact"/>
              <w:rPr>
                <w:sz w:val="20"/>
                <w:szCs w:val="20"/>
                <w:color w:val="auto"/>
              </w:rPr>
            </w:pPr>
            <w:r>
              <w:rPr>
                <w:rFonts w:ascii="Arial" w:cs="Arial" w:eastAsia="Arial" w:hAnsi="Arial"/>
                <w:sz w:val="10"/>
                <w:szCs w:val="10"/>
                <w:color w:val="auto"/>
              </w:rPr>
              <w:t>Amortization of right-of-use assets</w:t>
            </w:r>
          </w:p>
        </w:tc>
        <w:tc>
          <w:tcPr>
            <w:tcW w:w="2940" w:type="dxa"/>
            <w:vAlign w:val="bottom"/>
          </w:tcPr>
          <w:p>
            <w:pPr>
              <w:spacing w:after="0"/>
              <w:rPr>
                <w:sz w:val="9"/>
                <w:szCs w:val="9"/>
                <w:color w:val="auto"/>
              </w:rPr>
            </w:pPr>
          </w:p>
        </w:tc>
        <w:tc>
          <w:tcPr>
            <w:tcW w:w="1960" w:type="dxa"/>
            <w:vAlign w:val="bottom"/>
          </w:tcPr>
          <w:p>
            <w:pPr>
              <w:jc w:val="right"/>
              <w:spacing w:after="0" w:line="113" w:lineRule="exact"/>
              <w:rPr>
                <w:sz w:val="20"/>
                <w:szCs w:val="20"/>
                <w:color w:val="auto"/>
              </w:rPr>
            </w:pPr>
            <w:r>
              <w:rPr>
                <w:rFonts w:ascii="Arial" w:cs="Arial" w:eastAsia="Arial" w:hAnsi="Arial"/>
                <w:sz w:val="10"/>
                <w:szCs w:val="10"/>
                <w:color w:val="auto"/>
              </w:rPr>
              <w:t>3.1</w:t>
            </w:r>
          </w:p>
        </w:tc>
      </w:tr>
      <w:tr>
        <w:trPr>
          <w:trHeight w:val="113"/>
        </w:trPr>
        <w:tc>
          <w:tcPr>
            <w:tcW w:w="4280" w:type="dxa"/>
            <w:vAlign w:val="bottom"/>
            <w:shd w:val="clear" w:color="auto" w:fill="CFF0FC"/>
          </w:tcPr>
          <w:p>
            <w:pPr>
              <w:ind w:left="180"/>
              <w:spacing w:after="0" w:line="113" w:lineRule="exact"/>
              <w:rPr>
                <w:sz w:val="20"/>
                <w:szCs w:val="20"/>
                <w:color w:val="auto"/>
              </w:rPr>
            </w:pPr>
            <w:r>
              <w:rPr>
                <w:rFonts w:ascii="Arial" w:cs="Arial" w:eastAsia="Arial" w:hAnsi="Arial"/>
                <w:sz w:val="10"/>
                <w:szCs w:val="10"/>
                <w:color w:val="auto"/>
              </w:rPr>
              <w:t>Interest expense</w:t>
            </w:r>
          </w:p>
        </w:tc>
        <w:tc>
          <w:tcPr>
            <w:tcW w:w="2940" w:type="dxa"/>
            <w:vAlign w:val="bottom"/>
            <w:shd w:val="clear" w:color="auto" w:fill="CFF0FC"/>
          </w:tcPr>
          <w:p>
            <w:pPr>
              <w:spacing w:after="0"/>
              <w:rPr>
                <w:sz w:val="9"/>
                <w:szCs w:val="9"/>
                <w:color w:val="auto"/>
              </w:rPr>
            </w:pPr>
          </w:p>
        </w:tc>
        <w:tc>
          <w:tcPr>
            <w:tcW w:w="19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0.4</w:t>
            </w:r>
          </w:p>
        </w:tc>
      </w:tr>
      <w:tr>
        <w:trPr>
          <w:trHeight w:val="111"/>
        </w:trPr>
        <w:tc>
          <w:tcPr>
            <w:tcW w:w="4280" w:type="dxa"/>
            <w:vAlign w:val="bottom"/>
          </w:tcPr>
          <w:p>
            <w:pPr>
              <w:spacing w:after="0" w:line="103" w:lineRule="exact"/>
              <w:rPr>
                <w:sz w:val="20"/>
                <w:szCs w:val="20"/>
                <w:color w:val="auto"/>
              </w:rPr>
            </w:pPr>
            <w:r>
              <w:rPr>
                <w:rFonts w:ascii="Arial" w:cs="Arial" w:eastAsia="Arial" w:hAnsi="Arial"/>
                <w:sz w:val="10"/>
                <w:szCs w:val="10"/>
                <w:b w:val="1"/>
                <w:bCs w:val="1"/>
                <w:color w:val="auto"/>
              </w:rPr>
              <w:t>Total lease cost</w:t>
            </w:r>
          </w:p>
        </w:tc>
        <w:tc>
          <w:tcPr>
            <w:tcW w:w="2940" w:type="dxa"/>
            <w:vAlign w:val="bottom"/>
          </w:tcPr>
          <w:p>
            <w:pPr>
              <w:jc w:val="right"/>
              <w:ind w:right="150"/>
              <w:spacing w:after="0" w:line="103" w:lineRule="exact"/>
              <w:rPr>
                <w:sz w:val="20"/>
                <w:szCs w:val="20"/>
                <w:color w:val="auto"/>
              </w:rPr>
            </w:pPr>
            <w:r>
              <w:rPr>
                <w:rFonts w:ascii="Arial" w:cs="Arial" w:eastAsia="Arial" w:hAnsi="Arial"/>
                <w:sz w:val="10"/>
                <w:szCs w:val="10"/>
                <w:color w:val="auto"/>
              </w:rPr>
              <w:t>$</w:t>
            </w:r>
          </w:p>
        </w:tc>
        <w:tc>
          <w:tcPr>
            <w:tcW w:w="19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14.3</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Other supplemental information related to our leases are as follows:</w:t>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18"/>
        </w:trPr>
        <w:tc>
          <w:tcPr>
            <w:tcW w:w="7460" w:type="dxa"/>
            <w:vAlign w:val="bottom"/>
          </w:tcPr>
          <w:p>
            <w:pPr>
              <w:spacing w:after="0"/>
              <w:rPr>
                <w:sz w:val="10"/>
                <w:szCs w:val="10"/>
                <w:color w:val="auto"/>
              </w:rPr>
            </w:pPr>
          </w:p>
        </w:tc>
        <w:tc>
          <w:tcPr>
            <w:tcW w:w="1780" w:type="dxa"/>
            <w:vAlign w:val="bottom"/>
            <w:gridSpan w:val="3"/>
          </w:tcPr>
          <w:p>
            <w:pPr>
              <w:ind w:left="40"/>
              <w:spacing w:after="0"/>
              <w:rPr>
                <w:sz w:val="20"/>
                <w:szCs w:val="20"/>
                <w:color w:val="auto"/>
              </w:rPr>
            </w:pPr>
            <w:r>
              <w:rPr>
                <w:rFonts w:ascii="Arial" w:cs="Arial" w:eastAsia="Arial" w:hAnsi="Arial"/>
                <w:sz w:val="10"/>
                <w:szCs w:val="10"/>
                <w:b w:val="1"/>
                <w:bCs w:val="1"/>
                <w:color w:val="auto"/>
                <w:w w:val="99"/>
              </w:rPr>
              <w:t>Three Months Ended March 31, 2019</w:t>
            </w:r>
          </w:p>
        </w:tc>
      </w:tr>
      <w:tr>
        <w:trPr>
          <w:trHeight w:val="102"/>
        </w:trPr>
        <w:tc>
          <w:tcPr>
            <w:tcW w:w="746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Cash paid for amounts included in the measurement of lease liabilities</w:t>
            </w:r>
          </w:p>
        </w:tc>
        <w:tc>
          <w:tcPr>
            <w:tcW w:w="80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r>
      <w:tr>
        <w:trPr>
          <w:trHeight w:val="113"/>
        </w:trPr>
        <w:tc>
          <w:tcPr>
            <w:tcW w:w="7460" w:type="dxa"/>
            <w:vAlign w:val="bottom"/>
          </w:tcPr>
          <w:p>
            <w:pPr>
              <w:ind w:left="180"/>
              <w:spacing w:after="0" w:line="113" w:lineRule="exact"/>
              <w:rPr>
                <w:sz w:val="20"/>
                <w:szCs w:val="20"/>
                <w:color w:val="auto"/>
              </w:rPr>
            </w:pPr>
            <w:r>
              <w:rPr>
                <w:rFonts w:ascii="Arial" w:cs="Arial" w:eastAsia="Arial" w:hAnsi="Arial"/>
                <w:sz w:val="10"/>
                <w:szCs w:val="10"/>
                <w:color w:val="auto"/>
              </w:rPr>
              <w:t>Operating cash flows for operating leases</w:t>
            </w:r>
          </w:p>
        </w:tc>
        <w:tc>
          <w:tcPr>
            <w:tcW w:w="800" w:type="dxa"/>
            <w:vAlign w:val="bottom"/>
          </w:tcPr>
          <w:p>
            <w:pPr>
              <w:jc w:val="right"/>
              <w:ind w:right="722"/>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spacing w:after="0" w:line="113" w:lineRule="exact"/>
              <w:rPr>
                <w:sz w:val="20"/>
                <w:szCs w:val="20"/>
                <w:color w:val="auto"/>
              </w:rPr>
            </w:pPr>
            <w:r>
              <w:rPr>
                <w:rFonts w:ascii="Arial" w:cs="Arial" w:eastAsia="Arial" w:hAnsi="Arial"/>
                <w:sz w:val="10"/>
                <w:szCs w:val="10"/>
                <w:color w:val="auto"/>
              </w:rPr>
              <w:t>1.9</w:t>
            </w:r>
          </w:p>
        </w:tc>
        <w:tc>
          <w:tcPr>
            <w:tcW w:w="100" w:type="dxa"/>
            <w:vAlign w:val="bottom"/>
          </w:tcPr>
          <w:p>
            <w:pPr>
              <w:spacing w:after="0"/>
              <w:rPr>
                <w:sz w:val="9"/>
                <w:szCs w:val="9"/>
                <w:color w:val="auto"/>
              </w:rPr>
            </w:pPr>
          </w:p>
        </w:tc>
      </w:tr>
      <w:tr>
        <w:trPr>
          <w:trHeight w:val="113"/>
        </w:trPr>
        <w:tc>
          <w:tcPr>
            <w:tcW w:w="7460" w:type="dxa"/>
            <w:vAlign w:val="bottom"/>
            <w:shd w:val="clear" w:color="auto" w:fill="CFF0FC"/>
          </w:tcPr>
          <w:p>
            <w:pPr>
              <w:ind w:left="180"/>
              <w:spacing w:after="0" w:line="113" w:lineRule="exact"/>
              <w:rPr>
                <w:sz w:val="20"/>
                <w:szCs w:val="20"/>
                <w:color w:val="auto"/>
              </w:rPr>
            </w:pPr>
            <w:r>
              <w:rPr>
                <w:rFonts w:ascii="Arial" w:cs="Arial" w:eastAsia="Arial" w:hAnsi="Arial"/>
                <w:sz w:val="10"/>
                <w:szCs w:val="10"/>
                <w:color w:val="auto"/>
              </w:rPr>
              <w:t>Operating cash flows for finance leases</w:t>
            </w:r>
          </w:p>
        </w:tc>
        <w:tc>
          <w:tcPr>
            <w:tcW w:w="80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0.4</w:t>
            </w:r>
          </w:p>
        </w:tc>
        <w:tc>
          <w:tcPr>
            <w:tcW w:w="100" w:type="dxa"/>
            <w:vAlign w:val="bottom"/>
            <w:shd w:val="clear" w:color="auto" w:fill="CFF0FC"/>
          </w:tcPr>
          <w:p>
            <w:pPr>
              <w:spacing w:after="0"/>
              <w:rPr>
                <w:sz w:val="9"/>
                <w:szCs w:val="9"/>
                <w:color w:val="auto"/>
              </w:rPr>
            </w:pPr>
          </w:p>
        </w:tc>
      </w:tr>
      <w:tr>
        <w:trPr>
          <w:trHeight w:val="127"/>
        </w:trPr>
        <w:tc>
          <w:tcPr>
            <w:tcW w:w="7460" w:type="dxa"/>
            <w:vAlign w:val="bottom"/>
          </w:tcPr>
          <w:p>
            <w:pPr>
              <w:ind w:left="180"/>
              <w:spacing w:after="0"/>
              <w:rPr>
                <w:sz w:val="20"/>
                <w:szCs w:val="20"/>
                <w:color w:val="auto"/>
              </w:rPr>
            </w:pPr>
            <w:r>
              <w:rPr>
                <w:rFonts w:ascii="Arial" w:cs="Arial" w:eastAsia="Arial" w:hAnsi="Arial"/>
                <w:sz w:val="10"/>
                <w:szCs w:val="10"/>
                <w:color w:val="auto"/>
              </w:rPr>
              <w:t>Financing cash flows for finance leases</w:t>
            </w:r>
          </w:p>
        </w:tc>
        <w:tc>
          <w:tcPr>
            <w:tcW w:w="8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r>
    </w:tbl>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The weighted-average remaining lease terms for operating leases and finance leases are 4 years and 3 years, respectively. The weighted-average discount rates for operating leases and finance leases are 3.9% and 3.9%,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maturities of our lease liabilities under non-cancellable leases as of March 31,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1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320" w:type="dxa"/>
            <w:vAlign w:val="bottom"/>
          </w:tcPr>
          <w:p>
            <w:pPr>
              <w:jc w:val="right"/>
              <w:ind w:right="70"/>
              <w:spacing w:after="0"/>
              <w:rPr>
                <w:sz w:val="20"/>
                <w:szCs w:val="20"/>
                <w:color w:val="auto"/>
              </w:rPr>
            </w:pPr>
            <w:r>
              <w:rPr>
                <w:rFonts w:ascii="Arial" w:cs="Arial" w:eastAsia="Arial" w:hAnsi="Arial"/>
                <w:sz w:val="10"/>
                <w:szCs w:val="10"/>
                <w:b w:val="1"/>
                <w:bCs w:val="1"/>
                <w:color w:val="auto"/>
              </w:rPr>
              <w:t>Operating Leases</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jc w:val="right"/>
              <w:ind w:right="470"/>
              <w:spacing w:after="0"/>
              <w:rPr>
                <w:sz w:val="20"/>
                <w:szCs w:val="20"/>
                <w:color w:val="auto"/>
              </w:rPr>
            </w:pPr>
            <w:r>
              <w:rPr>
                <w:rFonts w:ascii="Arial" w:cs="Arial" w:eastAsia="Arial" w:hAnsi="Arial"/>
                <w:sz w:val="10"/>
                <w:szCs w:val="10"/>
                <w:b w:val="1"/>
                <w:bCs w:val="1"/>
                <w:color w:val="auto"/>
              </w:rPr>
              <w:t>Finance Leases</w:t>
            </w:r>
          </w:p>
        </w:tc>
        <w:tc>
          <w:tcPr>
            <w:tcW w:w="1180" w:type="dxa"/>
            <w:vAlign w:val="bottom"/>
          </w:tcPr>
          <w:p>
            <w:pPr>
              <w:spacing w:after="0"/>
              <w:rPr>
                <w:sz w:val="11"/>
                <w:szCs w:val="11"/>
                <w:color w:val="auto"/>
              </w:rPr>
            </w:pPr>
          </w:p>
        </w:tc>
      </w:tr>
      <w:tr>
        <w:trPr>
          <w:trHeight w:val="36"/>
        </w:trPr>
        <w:tc>
          <w:tcPr>
            <w:tcW w:w="4720" w:type="dxa"/>
            <w:vAlign w:val="bottom"/>
            <w:gridSpan w:val="2"/>
          </w:tcPr>
          <w:p>
            <w:pPr>
              <w:spacing w:after="0"/>
              <w:rPr>
                <w:sz w:val="3"/>
                <w:szCs w:val="3"/>
                <w:color w:val="auto"/>
              </w:rPr>
            </w:pPr>
          </w:p>
        </w:tc>
        <w:tc>
          <w:tcPr>
            <w:tcW w:w="20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02"/>
        </w:trPr>
        <w:tc>
          <w:tcPr>
            <w:tcW w:w="1140" w:type="dxa"/>
            <w:vAlign w:val="bottom"/>
          </w:tcPr>
          <w:p>
            <w:pPr>
              <w:spacing w:after="0"/>
              <w:rPr>
                <w:sz w:val="8"/>
                <w:szCs w:val="8"/>
                <w:color w:val="auto"/>
              </w:rPr>
            </w:pPr>
          </w:p>
        </w:tc>
        <w:tc>
          <w:tcPr>
            <w:tcW w:w="358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Future Minimum Lease Payments Beginning After March 31,</w:t>
            </w:r>
          </w:p>
        </w:tc>
        <w:tc>
          <w:tcPr>
            <w:tcW w:w="2080" w:type="dxa"/>
            <w:vAlign w:val="bottom"/>
            <w:tcBorders>
              <w:top w:val="single" w:sz="8" w:color="CFF0FC"/>
            </w:tcBorders>
            <w:shd w:val="clear" w:color="auto" w:fill="CFF0FC"/>
          </w:tcPr>
          <w:p>
            <w:pPr>
              <w:spacing w:after="0"/>
              <w:rPr>
                <w:sz w:val="8"/>
                <w:szCs w:val="8"/>
                <w:color w:val="auto"/>
              </w:rPr>
            </w:pPr>
          </w:p>
        </w:tc>
        <w:tc>
          <w:tcPr>
            <w:tcW w:w="132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CFF0FC"/>
            </w:tcBorders>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1360" w:type="dxa"/>
            <w:vAlign w:val="bottom"/>
            <w:tcBorders>
              <w:top w:val="single" w:sz="8" w:color="auto"/>
            </w:tcBorders>
            <w:shd w:val="clear" w:color="auto" w:fill="CFF0FC"/>
          </w:tcPr>
          <w:p>
            <w:pPr>
              <w:spacing w:after="0"/>
              <w:rPr>
                <w:sz w:val="8"/>
                <w:szCs w:val="8"/>
                <w:color w:val="auto"/>
              </w:rPr>
            </w:pPr>
          </w:p>
        </w:tc>
        <w:tc>
          <w:tcPr>
            <w:tcW w:w="1180" w:type="dxa"/>
            <w:vAlign w:val="bottom"/>
          </w:tcPr>
          <w:p>
            <w:pPr>
              <w:spacing w:after="0"/>
              <w:rPr>
                <w:sz w:val="8"/>
                <w:szCs w:val="8"/>
                <w:color w:val="auto"/>
              </w:rPr>
            </w:pPr>
          </w:p>
        </w:tc>
      </w:tr>
      <w:tr>
        <w:trPr>
          <w:trHeight w:val="113"/>
        </w:trPr>
        <w:tc>
          <w:tcPr>
            <w:tcW w:w="1140" w:type="dxa"/>
            <w:vAlign w:val="bottom"/>
          </w:tcPr>
          <w:p>
            <w:pPr>
              <w:spacing w:after="0"/>
              <w:rPr>
                <w:sz w:val="9"/>
                <w:szCs w:val="9"/>
                <w:color w:val="auto"/>
              </w:rPr>
            </w:pPr>
          </w:p>
        </w:tc>
        <w:tc>
          <w:tcPr>
            <w:tcW w:w="3580" w:type="dxa"/>
            <w:vAlign w:val="bottom"/>
          </w:tcPr>
          <w:p>
            <w:pPr>
              <w:spacing w:after="0" w:line="113" w:lineRule="exact"/>
              <w:rPr>
                <w:sz w:val="20"/>
                <w:szCs w:val="20"/>
                <w:color w:val="auto"/>
              </w:rPr>
            </w:pPr>
            <w:r>
              <w:rPr>
                <w:rFonts w:ascii="Arial" w:cs="Arial" w:eastAsia="Arial" w:hAnsi="Arial"/>
                <w:sz w:val="10"/>
                <w:szCs w:val="10"/>
                <w:color w:val="auto"/>
              </w:rPr>
              <w:t>2019</w:t>
            </w:r>
          </w:p>
        </w:tc>
        <w:tc>
          <w:tcPr>
            <w:tcW w:w="3400" w:type="dxa"/>
            <w:vAlign w:val="bottom"/>
            <w:gridSpan w:val="2"/>
          </w:tcPr>
          <w:p>
            <w:pPr>
              <w:jc w:val="right"/>
              <w:ind w:right="1210"/>
              <w:spacing w:after="0" w:line="113" w:lineRule="exact"/>
              <w:rPr>
                <w:sz w:val="20"/>
                <w:szCs w:val="20"/>
                <w:color w:val="auto"/>
              </w:rPr>
            </w:pPr>
            <w:r>
              <w:rPr>
                <w:rFonts w:ascii="Arial" w:cs="Arial" w:eastAsia="Arial" w:hAnsi="Arial"/>
                <w:sz w:val="10"/>
                <w:szCs w:val="10"/>
                <w:color w:val="auto"/>
              </w:rPr>
              <w:t>$</w:t>
            </w:r>
          </w:p>
        </w:tc>
        <w:tc>
          <w:tcPr>
            <w:tcW w:w="400" w:type="dxa"/>
            <w:vAlign w:val="bottom"/>
          </w:tcPr>
          <w:p>
            <w:pPr>
              <w:jc w:val="right"/>
              <w:ind w:right="50"/>
              <w:spacing w:after="0" w:line="113" w:lineRule="exact"/>
              <w:rPr>
                <w:sz w:val="20"/>
                <w:szCs w:val="20"/>
                <w:color w:val="auto"/>
              </w:rPr>
            </w:pPr>
            <w:r>
              <w:rPr>
                <w:rFonts w:ascii="Arial" w:cs="Arial" w:eastAsia="Arial" w:hAnsi="Arial"/>
                <w:sz w:val="10"/>
                <w:szCs w:val="10"/>
                <w:color w:val="auto"/>
              </w:rPr>
              <w:t>7.4</w:t>
            </w:r>
          </w:p>
        </w:tc>
        <w:tc>
          <w:tcPr>
            <w:tcW w:w="44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360" w:type="dxa"/>
            <w:vAlign w:val="bottom"/>
          </w:tcPr>
          <w:p>
            <w:pPr>
              <w:jc w:val="right"/>
              <w:ind w:right="30"/>
              <w:spacing w:after="0" w:line="113" w:lineRule="exact"/>
              <w:rPr>
                <w:sz w:val="20"/>
                <w:szCs w:val="20"/>
                <w:color w:val="auto"/>
              </w:rPr>
            </w:pPr>
            <w:r>
              <w:rPr>
                <w:rFonts w:ascii="Arial" w:cs="Arial" w:eastAsia="Arial" w:hAnsi="Arial"/>
                <w:sz w:val="10"/>
                <w:szCs w:val="10"/>
                <w:color w:val="auto"/>
              </w:rPr>
              <w:t>11.8</w:t>
            </w:r>
          </w:p>
        </w:tc>
        <w:tc>
          <w:tcPr>
            <w:tcW w:w="1180" w:type="dxa"/>
            <w:vAlign w:val="bottom"/>
          </w:tcPr>
          <w:p>
            <w:pPr>
              <w:spacing w:after="0"/>
              <w:rPr>
                <w:sz w:val="9"/>
                <w:szCs w:val="9"/>
                <w:color w:val="auto"/>
              </w:rPr>
            </w:pPr>
          </w:p>
        </w:tc>
      </w:tr>
      <w:tr>
        <w:trPr>
          <w:trHeight w:val="113"/>
        </w:trPr>
        <w:tc>
          <w:tcPr>
            <w:tcW w:w="1140" w:type="dxa"/>
            <w:vAlign w:val="bottom"/>
          </w:tcPr>
          <w:p>
            <w:pPr>
              <w:spacing w:after="0"/>
              <w:rPr>
                <w:sz w:val="9"/>
                <w:szCs w:val="9"/>
                <w:color w:val="auto"/>
              </w:rPr>
            </w:pPr>
          </w:p>
        </w:tc>
        <w:tc>
          <w:tcPr>
            <w:tcW w:w="35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2020</w:t>
            </w:r>
          </w:p>
        </w:tc>
        <w:tc>
          <w:tcPr>
            <w:tcW w:w="208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50"/>
              <w:spacing w:after="0" w:line="113" w:lineRule="exact"/>
              <w:rPr>
                <w:sz w:val="20"/>
                <w:szCs w:val="20"/>
                <w:color w:val="auto"/>
              </w:rPr>
            </w:pPr>
            <w:r>
              <w:rPr>
                <w:rFonts w:ascii="Arial" w:cs="Arial" w:eastAsia="Arial" w:hAnsi="Arial"/>
                <w:sz w:val="10"/>
                <w:szCs w:val="10"/>
                <w:color w:val="auto"/>
              </w:rPr>
              <w:t>5.6</w:t>
            </w: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60" w:type="dxa"/>
            <w:vAlign w:val="bottom"/>
            <w:shd w:val="clear" w:color="auto" w:fill="CFF0FC"/>
          </w:tcPr>
          <w:p>
            <w:pPr>
              <w:jc w:val="right"/>
              <w:ind w:right="30"/>
              <w:spacing w:after="0" w:line="113" w:lineRule="exact"/>
              <w:rPr>
                <w:sz w:val="20"/>
                <w:szCs w:val="20"/>
                <w:color w:val="auto"/>
              </w:rPr>
            </w:pPr>
            <w:r>
              <w:rPr>
                <w:rFonts w:ascii="Arial" w:cs="Arial" w:eastAsia="Arial" w:hAnsi="Arial"/>
                <w:sz w:val="10"/>
                <w:szCs w:val="10"/>
                <w:color w:val="auto"/>
              </w:rPr>
              <w:t>11.0</w:t>
            </w:r>
          </w:p>
        </w:tc>
        <w:tc>
          <w:tcPr>
            <w:tcW w:w="1180" w:type="dxa"/>
            <w:vAlign w:val="bottom"/>
          </w:tcPr>
          <w:p>
            <w:pPr>
              <w:spacing w:after="0"/>
              <w:rPr>
                <w:sz w:val="9"/>
                <w:szCs w:val="9"/>
                <w:color w:val="auto"/>
              </w:rPr>
            </w:pPr>
          </w:p>
        </w:tc>
      </w:tr>
      <w:tr>
        <w:trPr>
          <w:trHeight w:val="113"/>
        </w:trPr>
        <w:tc>
          <w:tcPr>
            <w:tcW w:w="1140" w:type="dxa"/>
            <w:vAlign w:val="bottom"/>
          </w:tcPr>
          <w:p>
            <w:pPr>
              <w:spacing w:after="0"/>
              <w:rPr>
                <w:sz w:val="9"/>
                <w:szCs w:val="9"/>
                <w:color w:val="auto"/>
              </w:rPr>
            </w:pPr>
          </w:p>
        </w:tc>
        <w:tc>
          <w:tcPr>
            <w:tcW w:w="3580" w:type="dxa"/>
            <w:vAlign w:val="bottom"/>
          </w:tcPr>
          <w:p>
            <w:pPr>
              <w:spacing w:after="0" w:line="113" w:lineRule="exact"/>
              <w:rPr>
                <w:sz w:val="20"/>
                <w:szCs w:val="20"/>
                <w:color w:val="auto"/>
              </w:rPr>
            </w:pPr>
            <w:r>
              <w:rPr>
                <w:rFonts w:ascii="Arial" w:cs="Arial" w:eastAsia="Arial" w:hAnsi="Arial"/>
                <w:sz w:val="10"/>
                <w:szCs w:val="10"/>
                <w:color w:val="auto"/>
              </w:rPr>
              <w:t>2021</w:t>
            </w:r>
          </w:p>
        </w:tc>
        <w:tc>
          <w:tcPr>
            <w:tcW w:w="20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jc w:val="right"/>
              <w:ind w:right="50"/>
              <w:spacing w:after="0" w:line="113" w:lineRule="exact"/>
              <w:rPr>
                <w:sz w:val="20"/>
                <w:szCs w:val="20"/>
                <w:color w:val="auto"/>
              </w:rPr>
            </w:pPr>
            <w:r>
              <w:rPr>
                <w:rFonts w:ascii="Arial" w:cs="Arial" w:eastAsia="Arial" w:hAnsi="Arial"/>
                <w:sz w:val="10"/>
                <w:szCs w:val="10"/>
                <w:color w:val="auto"/>
              </w:rPr>
              <w:t>5.3</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jc w:val="right"/>
              <w:ind w:right="30"/>
              <w:spacing w:after="0" w:line="113" w:lineRule="exact"/>
              <w:rPr>
                <w:sz w:val="20"/>
                <w:szCs w:val="20"/>
                <w:color w:val="auto"/>
              </w:rPr>
            </w:pPr>
            <w:r>
              <w:rPr>
                <w:rFonts w:ascii="Arial" w:cs="Arial" w:eastAsia="Arial" w:hAnsi="Arial"/>
                <w:sz w:val="10"/>
                <w:szCs w:val="10"/>
                <w:color w:val="auto"/>
              </w:rPr>
              <w:t>9.2</w:t>
            </w:r>
          </w:p>
        </w:tc>
        <w:tc>
          <w:tcPr>
            <w:tcW w:w="1180" w:type="dxa"/>
            <w:vAlign w:val="bottom"/>
          </w:tcPr>
          <w:p>
            <w:pPr>
              <w:spacing w:after="0"/>
              <w:rPr>
                <w:sz w:val="9"/>
                <w:szCs w:val="9"/>
                <w:color w:val="auto"/>
              </w:rPr>
            </w:pPr>
          </w:p>
        </w:tc>
      </w:tr>
      <w:tr>
        <w:trPr>
          <w:trHeight w:val="113"/>
        </w:trPr>
        <w:tc>
          <w:tcPr>
            <w:tcW w:w="1140" w:type="dxa"/>
            <w:vAlign w:val="bottom"/>
          </w:tcPr>
          <w:p>
            <w:pPr>
              <w:spacing w:after="0"/>
              <w:rPr>
                <w:sz w:val="9"/>
                <w:szCs w:val="9"/>
                <w:color w:val="auto"/>
              </w:rPr>
            </w:pPr>
          </w:p>
        </w:tc>
        <w:tc>
          <w:tcPr>
            <w:tcW w:w="35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2022</w:t>
            </w:r>
          </w:p>
        </w:tc>
        <w:tc>
          <w:tcPr>
            <w:tcW w:w="208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50"/>
              <w:spacing w:after="0" w:line="113" w:lineRule="exact"/>
              <w:rPr>
                <w:sz w:val="20"/>
                <w:szCs w:val="20"/>
                <w:color w:val="auto"/>
              </w:rPr>
            </w:pPr>
            <w:r>
              <w:rPr>
                <w:rFonts w:ascii="Arial" w:cs="Arial" w:eastAsia="Arial" w:hAnsi="Arial"/>
                <w:sz w:val="10"/>
                <w:szCs w:val="10"/>
                <w:color w:val="auto"/>
              </w:rPr>
              <w:t>4.2</w:t>
            </w:r>
          </w:p>
        </w:tc>
        <w:tc>
          <w:tcPr>
            <w:tcW w:w="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60" w:type="dxa"/>
            <w:vAlign w:val="bottom"/>
            <w:shd w:val="clear" w:color="auto" w:fill="CFF0FC"/>
          </w:tcPr>
          <w:p>
            <w:pPr>
              <w:jc w:val="right"/>
              <w:ind w:right="30"/>
              <w:spacing w:after="0" w:line="113" w:lineRule="exact"/>
              <w:rPr>
                <w:sz w:val="20"/>
                <w:szCs w:val="20"/>
                <w:color w:val="auto"/>
              </w:rPr>
            </w:pPr>
            <w:r>
              <w:rPr>
                <w:rFonts w:ascii="Arial" w:cs="Arial" w:eastAsia="Arial" w:hAnsi="Arial"/>
                <w:sz w:val="10"/>
                <w:szCs w:val="10"/>
                <w:color w:val="auto"/>
              </w:rPr>
              <w:t>8.2</w:t>
            </w:r>
          </w:p>
        </w:tc>
        <w:tc>
          <w:tcPr>
            <w:tcW w:w="1180" w:type="dxa"/>
            <w:vAlign w:val="bottom"/>
          </w:tcPr>
          <w:p>
            <w:pPr>
              <w:spacing w:after="0"/>
              <w:rPr>
                <w:sz w:val="9"/>
                <w:szCs w:val="9"/>
                <w:color w:val="auto"/>
              </w:rPr>
            </w:pPr>
          </w:p>
        </w:tc>
      </w:tr>
      <w:tr>
        <w:trPr>
          <w:trHeight w:val="113"/>
        </w:trPr>
        <w:tc>
          <w:tcPr>
            <w:tcW w:w="1140" w:type="dxa"/>
            <w:vAlign w:val="bottom"/>
          </w:tcPr>
          <w:p>
            <w:pPr>
              <w:spacing w:after="0"/>
              <w:rPr>
                <w:sz w:val="9"/>
                <w:szCs w:val="9"/>
                <w:color w:val="auto"/>
              </w:rPr>
            </w:pPr>
          </w:p>
        </w:tc>
        <w:tc>
          <w:tcPr>
            <w:tcW w:w="3580" w:type="dxa"/>
            <w:vAlign w:val="bottom"/>
          </w:tcPr>
          <w:p>
            <w:pPr>
              <w:spacing w:after="0" w:line="113" w:lineRule="exact"/>
              <w:rPr>
                <w:sz w:val="20"/>
                <w:szCs w:val="20"/>
                <w:color w:val="auto"/>
              </w:rPr>
            </w:pPr>
            <w:r>
              <w:rPr>
                <w:rFonts w:ascii="Arial" w:cs="Arial" w:eastAsia="Arial" w:hAnsi="Arial"/>
                <w:sz w:val="10"/>
                <w:szCs w:val="10"/>
                <w:color w:val="auto"/>
              </w:rPr>
              <w:t>2023</w:t>
            </w:r>
          </w:p>
        </w:tc>
        <w:tc>
          <w:tcPr>
            <w:tcW w:w="20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jc w:val="right"/>
              <w:ind w:right="50"/>
              <w:spacing w:after="0" w:line="113" w:lineRule="exact"/>
              <w:rPr>
                <w:sz w:val="20"/>
                <w:szCs w:val="20"/>
                <w:color w:val="auto"/>
              </w:rPr>
            </w:pPr>
            <w:r>
              <w:rPr>
                <w:rFonts w:ascii="Arial" w:cs="Arial" w:eastAsia="Arial" w:hAnsi="Arial"/>
                <w:sz w:val="10"/>
                <w:szCs w:val="10"/>
                <w:color w:val="auto"/>
              </w:rPr>
              <w:t>2.4</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jc w:val="right"/>
              <w:ind w:right="30"/>
              <w:spacing w:after="0" w:line="113" w:lineRule="exact"/>
              <w:rPr>
                <w:sz w:val="20"/>
                <w:szCs w:val="20"/>
                <w:color w:val="auto"/>
              </w:rPr>
            </w:pPr>
            <w:r>
              <w:rPr>
                <w:rFonts w:ascii="Arial" w:cs="Arial" w:eastAsia="Arial" w:hAnsi="Arial"/>
                <w:sz w:val="10"/>
                <w:szCs w:val="10"/>
                <w:color w:val="auto"/>
              </w:rPr>
              <w:t>1.0</w:t>
            </w:r>
          </w:p>
        </w:tc>
        <w:tc>
          <w:tcPr>
            <w:tcW w:w="1180" w:type="dxa"/>
            <w:vAlign w:val="bottom"/>
          </w:tcPr>
          <w:p>
            <w:pPr>
              <w:spacing w:after="0"/>
              <w:rPr>
                <w:sz w:val="9"/>
                <w:szCs w:val="9"/>
                <w:color w:val="auto"/>
              </w:rPr>
            </w:pPr>
          </w:p>
        </w:tc>
      </w:tr>
      <w:tr>
        <w:trPr>
          <w:trHeight w:val="113"/>
        </w:trPr>
        <w:tc>
          <w:tcPr>
            <w:tcW w:w="1140" w:type="dxa"/>
            <w:vAlign w:val="bottom"/>
          </w:tcPr>
          <w:p>
            <w:pPr>
              <w:spacing w:after="0"/>
              <w:rPr>
                <w:sz w:val="9"/>
                <w:szCs w:val="9"/>
                <w:color w:val="auto"/>
              </w:rPr>
            </w:pPr>
          </w:p>
        </w:tc>
        <w:tc>
          <w:tcPr>
            <w:tcW w:w="35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Thereafter</w:t>
            </w:r>
          </w:p>
        </w:tc>
        <w:tc>
          <w:tcPr>
            <w:tcW w:w="2080" w:type="dxa"/>
            <w:vAlign w:val="bottom"/>
            <w:shd w:val="clear" w:color="auto" w:fill="CFF0FC"/>
          </w:tcPr>
          <w:p>
            <w:pPr>
              <w:spacing w:after="0"/>
              <w:rPr>
                <w:sz w:val="9"/>
                <w:szCs w:val="9"/>
                <w:color w:val="auto"/>
              </w:rPr>
            </w:pPr>
          </w:p>
        </w:tc>
        <w:tc>
          <w:tcPr>
            <w:tcW w:w="1320" w:type="dxa"/>
            <w:vAlign w:val="bottom"/>
            <w:tcBorders>
              <w:bottom w:val="single" w:sz="8" w:color="auto"/>
            </w:tcBorders>
            <w:shd w:val="clear" w:color="auto" w:fill="CFF0FC"/>
          </w:tcPr>
          <w:p>
            <w:pPr>
              <w:spacing w:after="0"/>
              <w:rPr>
                <w:sz w:val="9"/>
                <w:szCs w:val="9"/>
                <w:color w:val="auto"/>
              </w:rPr>
            </w:pPr>
          </w:p>
        </w:tc>
        <w:tc>
          <w:tcPr>
            <w:tcW w:w="400" w:type="dxa"/>
            <w:vAlign w:val="bottom"/>
            <w:tcBorders>
              <w:bottom w:val="single" w:sz="8" w:color="auto"/>
            </w:tcBorders>
            <w:shd w:val="clear" w:color="auto" w:fill="CFF0FC"/>
          </w:tcPr>
          <w:p>
            <w:pPr>
              <w:jc w:val="right"/>
              <w:ind w:right="50"/>
              <w:spacing w:after="0" w:line="113" w:lineRule="exact"/>
              <w:rPr>
                <w:sz w:val="20"/>
                <w:szCs w:val="20"/>
                <w:color w:val="auto"/>
              </w:rPr>
            </w:pPr>
            <w:r>
              <w:rPr>
                <w:rFonts w:ascii="Arial" w:cs="Arial" w:eastAsia="Arial" w:hAnsi="Arial"/>
                <w:sz w:val="10"/>
                <w:szCs w:val="10"/>
                <w:color w:val="auto"/>
              </w:rPr>
              <w:t>1.0</w:t>
            </w:r>
          </w:p>
        </w:tc>
        <w:tc>
          <w:tcPr>
            <w:tcW w:w="180" w:type="dxa"/>
            <w:vAlign w:val="bottom"/>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1360" w:type="dxa"/>
            <w:vAlign w:val="bottom"/>
            <w:tcBorders>
              <w:bottom w:val="single" w:sz="8" w:color="auto"/>
            </w:tcBorders>
            <w:shd w:val="clear" w:color="auto" w:fill="CFF0FC"/>
          </w:tcPr>
          <w:p>
            <w:pPr>
              <w:jc w:val="right"/>
              <w:ind w:right="30"/>
              <w:spacing w:after="0" w:line="113" w:lineRule="exact"/>
              <w:rPr>
                <w:sz w:val="20"/>
                <w:szCs w:val="20"/>
                <w:color w:val="auto"/>
              </w:rPr>
            </w:pPr>
            <w:r>
              <w:rPr>
                <w:rFonts w:ascii="Arial" w:cs="Arial" w:eastAsia="Arial" w:hAnsi="Arial"/>
                <w:sz w:val="10"/>
                <w:szCs w:val="10"/>
                <w:color w:val="auto"/>
              </w:rPr>
              <w:t>—</w:t>
            </w:r>
          </w:p>
        </w:tc>
        <w:tc>
          <w:tcPr>
            <w:tcW w:w="1180" w:type="dxa"/>
            <w:vAlign w:val="bottom"/>
          </w:tcPr>
          <w:p>
            <w:pPr>
              <w:spacing w:after="0"/>
              <w:rPr>
                <w:sz w:val="9"/>
                <w:szCs w:val="9"/>
                <w:color w:val="auto"/>
              </w:rPr>
            </w:pPr>
          </w:p>
        </w:tc>
      </w:tr>
      <w:tr>
        <w:trPr>
          <w:trHeight w:val="102"/>
        </w:trPr>
        <w:tc>
          <w:tcPr>
            <w:tcW w:w="1140" w:type="dxa"/>
            <w:vAlign w:val="bottom"/>
          </w:tcPr>
          <w:p>
            <w:pPr>
              <w:spacing w:after="0"/>
              <w:rPr>
                <w:sz w:val="8"/>
                <w:szCs w:val="8"/>
                <w:color w:val="auto"/>
              </w:rPr>
            </w:pPr>
          </w:p>
        </w:tc>
        <w:tc>
          <w:tcPr>
            <w:tcW w:w="3580" w:type="dxa"/>
            <w:vAlign w:val="bottom"/>
          </w:tcPr>
          <w:p>
            <w:pPr>
              <w:ind w:left="180"/>
              <w:spacing w:after="0" w:line="103" w:lineRule="exact"/>
              <w:rPr>
                <w:sz w:val="20"/>
                <w:szCs w:val="20"/>
                <w:color w:val="auto"/>
              </w:rPr>
            </w:pPr>
            <w:r>
              <w:rPr>
                <w:rFonts w:ascii="Arial" w:cs="Arial" w:eastAsia="Arial" w:hAnsi="Arial"/>
                <w:sz w:val="10"/>
                <w:szCs w:val="10"/>
                <w:color w:val="auto"/>
              </w:rPr>
              <w:t>Total undiscounted cash flows</w:t>
            </w:r>
          </w:p>
        </w:tc>
        <w:tc>
          <w:tcPr>
            <w:tcW w:w="20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jc w:val="right"/>
              <w:ind w:right="50"/>
              <w:spacing w:after="0" w:line="103" w:lineRule="exact"/>
              <w:rPr>
                <w:sz w:val="20"/>
                <w:szCs w:val="20"/>
                <w:color w:val="auto"/>
              </w:rPr>
            </w:pPr>
            <w:r>
              <w:rPr>
                <w:rFonts w:ascii="Arial" w:cs="Arial" w:eastAsia="Arial" w:hAnsi="Arial"/>
                <w:sz w:val="10"/>
                <w:szCs w:val="10"/>
                <w:color w:val="auto"/>
              </w:rPr>
              <w:t>25.9</w:t>
            </w: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tcPr>
          <w:p>
            <w:pPr>
              <w:jc w:val="right"/>
              <w:ind w:right="30"/>
              <w:spacing w:after="0" w:line="103" w:lineRule="exact"/>
              <w:rPr>
                <w:sz w:val="20"/>
                <w:szCs w:val="20"/>
                <w:color w:val="auto"/>
              </w:rPr>
            </w:pPr>
            <w:r>
              <w:rPr>
                <w:rFonts w:ascii="Arial" w:cs="Arial" w:eastAsia="Arial" w:hAnsi="Arial"/>
                <w:sz w:val="10"/>
                <w:szCs w:val="10"/>
                <w:color w:val="auto"/>
              </w:rPr>
              <w:t>41.2</w:t>
            </w:r>
          </w:p>
        </w:tc>
        <w:tc>
          <w:tcPr>
            <w:tcW w:w="1180" w:type="dxa"/>
            <w:vAlign w:val="bottom"/>
          </w:tcPr>
          <w:p>
            <w:pPr>
              <w:spacing w:after="0"/>
              <w:rPr>
                <w:sz w:val="8"/>
                <w:szCs w:val="8"/>
                <w:color w:val="auto"/>
              </w:rPr>
            </w:pPr>
          </w:p>
        </w:tc>
      </w:tr>
      <w:tr>
        <w:trPr>
          <w:trHeight w:val="113"/>
        </w:trPr>
        <w:tc>
          <w:tcPr>
            <w:tcW w:w="1140" w:type="dxa"/>
            <w:vAlign w:val="bottom"/>
          </w:tcPr>
          <w:p>
            <w:pPr>
              <w:spacing w:after="0"/>
              <w:rPr>
                <w:sz w:val="9"/>
                <w:szCs w:val="9"/>
                <w:color w:val="auto"/>
              </w:rPr>
            </w:pPr>
          </w:p>
        </w:tc>
        <w:tc>
          <w:tcPr>
            <w:tcW w:w="35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Less imputed interest</w:t>
            </w:r>
          </w:p>
        </w:tc>
        <w:tc>
          <w:tcPr>
            <w:tcW w:w="2080" w:type="dxa"/>
            <w:vAlign w:val="bottom"/>
            <w:shd w:val="clear" w:color="auto" w:fill="CFF0FC"/>
          </w:tcPr>
          <w:p>
            <w:pPr>
              <w:spacing w:after="0"/>
              <w:rPr>
                <w:sz w:val="9"/>
                <w:szCs w:val="9"/>
                <w:color w:val="auto"/>
              </w:rPr>
            </w:pPr>
          </w:p>
        </w:tc>
        <w:tc>
          <w:tcPr>
            <w:tcW w:w="1320" w:type="dxa"/>
            <w:vAlign w:val="bottom"/>
            <w:tcBorders>
              <w:bottom w:val="single" w:sz="8" w:color="auto"/>
            </w:tcBorders>
            <w:shd w:val="clear" w:color="auto" w:fill="CFF0FC"/>
          </w:tcPr>
          <w:p>
            <w:pPr>
              <w:spacing w:after="0"/>
              <w:rPr>
                <w:sz w:val="9"/>
                <w:szCs w:val="9"/>
                <w:color w:val="auto"/>
              </w:rPr>
            </w:pPr>
          </w:p>
        </w:tc>
        <w:tc>
          <w:tcPr>
            <w:tcW w:w="400" w:type="dxa"/>
            <w:vAlign w:val="bottom"/>
            <w:tcBorders>
              <w:bottom w:val="single" w:sz="8" w:color="auto"/>
            </w:tcBorders>
            <w:shd w:val="clear" w:color="auto" w:fill="CFF0FC"/>
          </w:tcPr>
          <w:p>
            <w:pPr>
              <w:jc w:val="right"/>
              <w:ind w:right="10"/>
              <w:spacing w:after="0" w:line="113" w:lineRule="exact"/>
              <w:rPr>
                <w:sz w:val="20"/>
                <w:szCs w:val="20"/>
                <w:color w:val="auto"/>
              </w:rPr>
            </w:pPr>
            <w:r>
              <w:rPr>
                <w:rFonts w:ascii="Arial" w:cs="Arial" w:eastAsia="Arial" w:hAnsi="Arial"/>
                <w:sz w:val="10"/>
                <w:szCs w:val="10"/>
                <w:color w:val="auto"/>
              </w:rPr>
              <w:t>(2.0)</w:t>
            </w:r>
          </w:p>
        </w:tc>
        <w:tc>
          <w:tcPr>
            <w:tcW w:w="180" w:type="dxa"/>
            <w:vAlign w:val="bottom"/>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13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(3.0)</w:t>
            </w:r>
          </w:p>
        </w:tc>
        <w:tc>
          <w:tcPr>
            <w:tcW w:w="1180" w:type="dxa"/>
            <w:vAlign w:val="bottom"/>
          </w:tcPr>
          <w:p>
            <w:pPr>
              <w:spacing w:after="0"/>
              <w:rPr>
                <w:sz w:val="9"/>
                <w:szCs w:val="9"/>
                <w:color w:val="auto"/>
              </w:rPr>
            </w:pPr>
          </w:p>
        </w:tc>
      </w:tr>
      <w:tr>
        <w:trPr>
          <w:trHeight w:val="139"/>
        </w:trPr>
        <w:tc>
          <w:tcPr>
            <w:tcW w:w="4720" w:type="dxa"/>
            <w:vAlign w:val="bottom"/>
            <w:gridSpan w:val="2"/>
          </w:tcPr>
          <w:p>
            <w:pPr>
              <w:ind w:left="1140"/>
              <w:spacing w:after="0" w:line="114" w:lineRule="exact"/>
              <w:rPr>
                <w:sz w:val="20"/>
                <w:szCs w:val="20"/>
                <w:color w:val="auto"/>
              </w:rPr>
            </w:pPr>
            <w:r>
              <w:rPr>
                <w:rFonts w:ascii="Arial" w:cs="Arial" w:eastAsia="Arial" w:hAnsi="Arial"/>
                <w:sz w:val="10"/>
                <w:szCs w:val="10"/>
                <w:b w:val="1"/>
                <w:bCs w:val="1"/>
                <w:color w:val="auto"/>
              </w:rPr>
              <w:t>Total lease liabilities</w:t>
            </w:r>
          </w:p>
        </w:tc>
        <w:tc>
          <w:tcPr>
            <w:tcW w:w="3400" w:type="dxa"/>
            <w:vAlign w:val="bottom"/>
            <w:gridSpan w:val="2"/>
          </w:tcPr>
          <w:p>
            <w:pPr>
              <w:jc w:val="right"/>
              <w:ind w:right="1210"/>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50"/>
              <w:spacing w:after="0"/>
              <w:rPr>
                <w:sz w:val="20"/>
                <w:szCs w:val="20"/>
                <w:color w:val="auto"/>
              </w:rPr>
            </w:pPr>
            <w:r>
              <w:rPr>
                <w:rFonts w:ascii="Arial" w:cs="Arial" w:eastAsia="Arial" w:hAnsi="Arial"/>
                <w:sz w:val="10"/>
                <w:szCs w:val="10"/>
                <w:color w:val="auto"/>
              </w:rPr>
              <w:t>23.9</w:t>
            </w: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30"/>
              <w:spacing w:after="0"/>
              <w:rPr>
                <w:sz w:val="20"/>
                <w:szCs w:val="20"/>
                <w:color w:val="auto"/>
              </w:rPr>
            </w:pPr>
            <w:r>
              <w:rPr>
                <w:rFonts w:ascii="Arial" w:cs="Arial" w:eastAsia="Arial" w:hAnsi="Arial"/>
                <w:sz w:val="10"/>
                <w:szCs w:val="10"/>
                <w:color w:val="auto"/>
              </w:rPr>
              <w:t>38.2</w:t>
            </w:r>
          </w:p>
        </w:tc>
        <w:tc>
          <w:tcPr>
            <w:tcW w:w="1180" w:type="dxa"/>
            <w:vAlign w:val="bottom"/>
          </w:tcPr>
          <w:p>
            <w:pPr>
              <w:spacing w:after="0"/>
              <w:rPr>
                <w:sz w:val="12"/>
                <w:szCs w:val="12"/>
                <w:color w:val="auto"/>
              </w:rPr>
            </w:pPr>
          </w:p>
        </w:tc>
      </w:tr>
      <w:tr>
        <w:trPr>
          <w:trHeight w:val="299"/>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80" w:type="dxa"/>
            <w:vAlign w:val="bottom"/>
          </w:tcPr>
          <w:p>
            <w:pPr>
              <w:jc w:val="right"/>
              <w:ind w:right="946"/>
              <w:spacing w:after="0"/>
              <w:rPr>
                <w:sz w:val="20"/>
                <w:szCs w:val="20"/>
                <w:color w:val="auto"/>
              </w:rPr>
            </w:pPr>
            <w:r>
              <w:rPr>
                <w:rFonts w:ascii="Arial" w:cs="Arial" w:eastAsia="Arial" w:hAnsi="Arial"/>
                <w:sz w:val="13"/>
                <w:szCs w:val="13"/>
                <w:color w:val="auto"/>
              </w:rPr>
              <w:t>16</w:t>
            </w:r>
          </w:p>
        </w:tc>
        <w:tc>
          <w:tcPr>
            <w:tcW w:w="1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r>
        <w:trPr>
          <w:trHeight w:val="77"/>
        </w:trPr>
        <w:tc>
          <w:tcPr>
            <w:tcW w:w="1140" w:type="dxa"/>
            <w:vAlign w:val="bottom"/>
            <w:tcBorders>
              <w:bottom w:val="single" w:sz="8" w:color="9A9A9A"/>
            </w:tcBorders>
          </w:tcPr>
          <w:p>
            <w:pPr>
              <w:spacing w:after="0"/>
              <w:rPr>
                <w:sz w:val="6"/>
                <w:szCs w:val="6"/>
                <w:color w:val="auto"/>
              </w:rPr>
            </w:pPr>
          </w:p>
        </w:tc>
        <w:tc>
          <w:tcPr>
            <w:tcW w:w="3580" w:type="dxa"/>
            <w:vAlign w:val="bottom"/>
            <w:tcBorders>
              <w:bottom w:val="single" w:sz="8" w:color="9A9A9A"/>
            </w:tcBorders>
          </w:tcPr>
          <w:p>
            <w:pPr>
              <w:spacing w:after="0"/>
              <w:rPr>
                <w:sz w:val="6"/>
                <w:szCs w:val="6"/>
                <w:color w:val="auto"/>
              </w:rPr>
            </w:pPr>
          </w:p>
        </w:tc>
        <w:tc>
          <w:tcPr>
            <w:tcW w:w="208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7278370</wp:posOffset>
            </wp:positionH>
            <wp:positionV relativeFrom="paragraph">
              <wp:posOffset>-24130</wp:posOffset>
            </wp:positionV>
            <wp:extent cx="3111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-24130</wp:posOffset>
            </wp:positionV>
            <wp:extent cx="3111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500"/>
          </w:cols>
          <w:pgMar w:left="220" w:top="277" w:right="179"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auto"/>
        </w:rPr>
        <w:t>The following table presents future minimum payments under non-cancellable leases as of December 31, 2018:</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18"/>
        </w:trPr>
        <w:tc>
          <w:tcPr>
            <w:tcW w:w="7040" w:type="dxa"/>
            <w:vAlign w:val="bottom"/>
            <w:vMerge w:val="restart"/>
          </w:tcPr>
          <w:p>
            <w:pPr>
              <w:spacing w:after="0"/>
              <w:rPr>
                <w:sz w:val="20"/>
                <w:szCs w:val="20"/>
                <w:color w:val="auto"/>
              </w:rPr>
            </w:pPr>
            <w:r>
              <w:rPr>
                <w:rFonts w:ascii="Arial" w:cs="Arial" w:eastAsia="Arial" w:hAnsi="Arial"/>
                <w:sz w:val="10"/>
                <w:szCs w:val="10"/>
                <w:color w:val="auto"/>
              </w:rPr>
              <w:t>2019</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gridSpan w:val="2"/>
          </w:tcPr>
          <w:p>
            <w:pPr>
              <w:ind w:left="420"/>
              <w:spacing w:after="0"/>
              <w:rPr>
                <w:sz w:val="20"/>
                <w:szCs w:val="20"/>
                <w:color w:val="auto"/>
              </w:rPr>
            </w:pPr>
            <w:r>
              <w:rPr>
                <w:rFonts w:ascii="Arial" w:cs="Arial" w:eastAsia="Arial" w:hAnsi="Arial"/>
                <w:sz w:val="10"/>
                <w:szCs w:val="10"/>
                <w:b w:val="1"/>
                <w:bCs w:val="1"/>
                <w:color w:val="auto"/>
              </w:rPr>
              <w:t>Leases</w:t>
            </w:r>
          </w:p>
        </w:tc>
        <w:tc>
          <w:tcPr>
            <w:tcW w:w="0" w:type="dxa"/>
            <w:vAlign w:val="bottom"/>
          </w:tcPr>
          <w:p>
            <w:pPr>
              <w:spacing w:after="0"/>
              <w:rPr>
                <w:sz w:val="1"/>
                <w:szCs w:val="1"/>
                <w:color w:val="auto"/>
              </w:rPr>
            </w:pPr>
          </w:p>
        </w:tc>
      </w:tr>
      <w:tr>
        <w:trPr>
          <w:trHeight w:val="102"/>
        </w:trPr>
        <w:tc>
          <w:tcPr>
            <w:tcW w:w="70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top w:val="single" w:sz="8" w:color="auto"/>
            </w:tcBorders>
          </w:tcPr>
          <w:p>
            <w:pPr>
              <w:jc w:val="right"/>
              <w:ind w:right="375"/>
              <w:spacing w:after="0"/>
              <w:rPr>
                <w:sz w:val="20"/>
                <w:szCs w:val="20"/>
                <w:color w:val="auto"/>
              </w:rPr>
            </w:pPr>
            <w:r>
              <w:rPr>
                <w:rFonts w:ascii="Arial" w:cs="Arial" w:eastAsia="Arial" w:hAnsi="Arial"/>
                <w:sz w:val="5"/>
                <w:szCs w:val="5"/>
                <w:color w:val="auto"/>
                <w:w w:val="70"/>
              </w:rPr>
              <w:t>$</w:t>
            </w:r>
          </w:p>
        </w:tc>
        <w:tc>
          <w:tcPr>
            <w:tcW w:w="158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20.5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04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2020</w:t>
            </w:r>
          </w:p>
        </w:tc>
        <w:tc>
          <w:tcPr>
            <w:tcW w:w="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5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17.7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040" w:type="dxa"/>
            <w:vAlign w:val="bottom"/>
          </w:tcPr>
          <w:p>
            <w:pPr>
              <w:spacing w:after="0" w:line="113" w:lineRule="exact"/>
              <w:rPr>
                <w:sz w:val="20"/>
                <w:szCs w:val="20"/>
                <w:color w:val="auto"/>
              </w:rPr>
            </w:pPr>
            <w:r>
              <w:rPr>
                <w:rFonts w:ascii="Arial" w:cs="Arial" w:eastAsia="Arial" w:hAnsi="Arial"/>
                <w:sz w:val="10"/>
                <w:szCs w:val="10"/>
                <w:color w:val="auto"/>
              </w:rPr>
              <w:t>2021</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jc w:val="right"/>
              <w:spacing w:after="0" w:line="113" w:lineRule="exact"/>
              <w:rPr>
                <w:sz w:val="20"/>
                <w:szCs w:val="20"/>
                <w:color w:val="auto"/>
              </w:rPr>
            </w:pPr>
            <w:r>
              <w:rPr>
                <w:rFonts w:ascii="Arial" w:cs="Arial" w:eastAsia="Arial" w:hAnsi="Arial"/>
                <w:sz w:val="10"/>
                <w:szCs w:val="10"/>
                <w:color w:val="auto"/>
              </w:rPr>
              <w:t>14.9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04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2022</w:t>
            </w:r>
          </w:p>
        </w:tc>
        <w:tc>
          <w:tcPr>
            <w:tcW w:w="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5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12.6</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040" w:type="dxa"/>
            <w:vAlign w:val="bottom"/>
          </w:tcPr>
          <w:p>
            <w:pPr>
              <w:spacing w:after="0" w:line="113" w:lineRule="exact"/>
              <w:rPr>
                <w:sz w:val="20"/>
                <w:szCs w:val="20"/>
                <w:color w:val="auto"/>
              </w:rPr>
            </w:pPr>
            <w:r>
              <w:rPr>
                <w:rFonts w:ascii="Arial" w:cs="Arial" w:eastAsia="Arial" w:hAnsi="Arial"/>
                <w:sz w:val="10"/>
                <w:szCs w:val="10"/>
                <w:color w:val="auto"/>
              </w:rPr>
              <w:t>2023</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jc w:val="right"/>
              <w:spacing w:after="0" w:line="113" w:lineRule="exact"/>
              <w:rPr>
                <w:sz w:val="20"/>
                <w:szCs w:val="20"/>
                <w:color w:val="auto"/>
              </w:rPr>
            </w:pPr>
            <w:r>
              <w:rPr>
                <w:rFonts w:ascii="Arial" w:cs="Arial" w:eastAsia="Arial" w:hAnsi="Arial"/>
                <w:sz w:val="10"/>
                <w:szCs w:val="10"/>
                <w:color w:val="auto"/>
              </w:rPr>
              <w:t>6.0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04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Thereafter</w:t>
            </w:r>
          </w:p>
        </w:tc>
        <w:tc>
          <w:tcPr>
            <w:tcW w:w="20" w:type="dxa"/>
            <w:vAlign w:val="bottom"/>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spacing w:after="0"/>
              <w:rPr>
                <w:sz w:val="9"/>
                <w:szCs w:val="9"/>
                <w:color w:val="auto"/>
              </w:rPr>
            </w:pPr>
          </w:p>
        </w:tc>
        <w:tc>
          <w:tcPr>
            <w:tcW w:w="158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040" w:type="dxa"/>
            <w:vAlign w:val="bottom"/>
          </w:tcPr>
          <w:p>
            <w:pPr>
              <w:spacing w:after="0" w:line="103" w:lineRule="exact"/>
              <w:rPr>
                <w:sz w:val="20"/>
                <w:szCs w:val="20"/>
                <w:color w:val="auto"/>
              </w:rPr>
            </w:pPr>
            <w:r>
              <w:rPr>
                <w:rFonts w:ascii="Arial" w:cs="Arial" w:eastAsia="Arial" w:hAnsi="Arial"/>
                <w:sz w:val="10"/>
                <w:szCs w:val="10"/>
                <w:b w:val="1"/>
                <w:bCs w:val="1"/>
                <w:color w:val="auto"/>
              </w:rPr>
              <w:t>Total payments</w:t>
            </w: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375"/>
              <w:spacing w:after="0"/>
              <w:rPr>
                <w:sz w:val="20"/>
                <w:szCs w:val="20"/>
                <w:color w:val="auto"/>
              </w:rPr>
            </w:pPr>
            <w:r>
              <w:rPr>
                <w:rFonts w:ascii="Arial" w:cs="Arial" w:eastAsia="Arial" w:hAnsi="Arial"/>
                <w:sz w:val="5"/>
                <w:szCs w:val="5"/>
                <w:color w:val="auto"/>
                <w:w w:val="70"/>
              </w:rPr>
              <w:t>$</w:t>
            </w:r>
          </w:p>
        </w:tc>
        <w:tc>
          <w:tcPr>
            <w:tcW w:w="15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73.4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 Partnership Units and Related Matters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Distributions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TRC is entitled to receive all Partnership distributions after payment of preferred distributions each quarter.</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details the distributions declared and paid by us for the three months ended March 31, 2019: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5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Distributions to</w:t>
            </w:r>
          </w:p>
        </w:tc>
      </w:tr>
      <w:tr>
        <w:trPr>
          <w:trHeight w:val="118"/>
        </w:trPr>
        <w:tc>
          <w:tcPr>
            <w:tcW w:w="420" w:type="dxa"/>
            <w:vAlign w:val="bottom"/>
          </w:tcPr>
          <w:p>
            <w:pPr>
              <w:spacing w:after="0"/>
              <w:rPr>
                <w:sz w:val="10"/>
                <w:szCs w:val="10"/>
                <w:color w:val="auto"/>
              </w:rPr>
            </w:pPr>
          </w:p>
        </w:tc>
        <w:tc>
          <w:tcPr>
            <w:tcW w:w="3080" w:type="dxa"/>
            <w:vAlign w:val="bottom"/>
            <w:gridSpan w:val="2"/>
          </w:tcPr>
          <w:p>
            <w:pPr>
              <w:ind w:left="720"/>
              <w:spacing w:after="0"/>
              <w:rPr>
                <w:sz w:val="20"/>
                <w:szCs w:val="20"/>
                <w:color w:val="auto"/>
              </w:rPr>
            </w:pPr>
            <w:r>
              <w:rPr>
                <w:rFonts w:ascii="Arial" w:cs="Arial" w:eastAsia="Arial" w:hAnsi="Arial"/>
                <w:sz w:val="10"/>
                <w:szCs w:val="10"/>
                <w:b w:val="1"/>
                <w:bCs w:val="1"/>
                <w:color w:val="auto"/>
              </w:rPr>
              <w:t>Three Months Ended</w:t>
            </w:r>
          </w:p>
        </w:tc>
        <w:tc>
          <w:tcPr>
            <w:tcW w:w="2940" w:type="dxa"/>
            <w:vAlign w:val="bottom"/>
          </w:tcPr>
          <w:p>
            <w:pPr>
              <w:ind w:left="1240"/>
              <w:spacing w:after="0"/>
              <w:rPr>
                <w:sz w:val="20"/>
                <w:szCs w:val="20"/>
                <w:color w:val="auto"/>
              </w:rPr>
            </w:pPr>
            <w:r>
              <w:rPr>
                <w:rFonts w:ascii="Arial" w:cs="Arial" w:eastAsia="Arial" w:hAnsi="Arial"/>
                <w:sz w:val="10"/>
                <w:szCs w:val="10"/>
                <w:b w:val="1"/>
                <w:bCs w:val="1"/>
                <w:color w:val="auto"/>
              </w:rPr>
              <w:t>Date Paid</w:t>
            </w:r>
          </w:p>
        </w:tc>
        <w:tc>
          <w:tcPr>
            <w:tcW w:w="280" w:type="dxa"/>
            <w:vAlign w:val="bottom"/>
          </w:tcPr>
          <w:p>
            <w:pPr>
              <w:spacing w:after="0"/>
              <w:rPr>
                <w:sz w:val="10"/>
                <w:szCs w:val="10"/>
                <w:color w:val="auto"/>
              </w:rPr>
            </w:pPr>
          </w:p>
        </w:tc>
        <w:tc>
          <w:tcPr>
            <w:tcW w:w="1800" w:type="dxa"/>
            <w:vAlign w:val="bottom"/>
          </w:tcPr>
          <w:p>
            <w:pPr>
              <w:jc w:val="right"/>
              <w:ind w:right="450"/>
              <w:spacing w:after="0"/>
              <w:rPr>
                <w:sz w:val="20"/>
                <w:szCs w:val="20"/>
                <w:color w:val="auto"/>
              </w:rPr>
            </w:pPr>
            <w:r>
              <w:rPr>
                <w:rFonts w:ascii="Arial" w:cs="Arial" w:eastAsia="Arial" w:hAnsi="Arial"/>
                <w:sz w:val="10"/>
                <w:szCs w:val="10"/>
                <w:b w:val="1"/>
                <w:bCs w:val="1"/>
                <w:color w:val="auto"/>
              </w:rPr>
              <w:t>Total Distributions</w:t>
            </w:r>
          </w:p>
        </w:tc>
        <w:tc>
          <w:tcPr>
            <w:tcW w:w="420" w:type="dxa"/>
            <w:vAlign w:val="bottom"/>
          </w:tcPr>
          <w:p>
            <w:pPr>
              <w:spacing w:after="0"/>
              <w:rPr>
                <w:sz w:val="10"/>
                <w:szCs w:val="10"/>
                <w:color w:val="auto"/>
              </w:rPr>
            </w:pPr>
          </w:p>
        </w:tc>
        <w:tc>
          <w:tcPr>
            <w:tcW w:w="25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Targa Resources Corp.</w:t>
            </w:r>
          </w:p>
        </w:tc>
      </w:tr>
      <w:tr>
        <w:trPr>
          <w:trHeight w:val="102"/>
        </w:trPr>
        <w:tc>
          <w:tcPr>
            <w:tcW w:w="420" w:type="dxa"/>
            <w:vAlign w:val="bottom"/>
            <w:tcBorders>
              <w:top w:val="single" w:sz="8" w:color="auto"/>
            </w:tcBorders>
            <w:shd w:val="clear" w:color="auto" w:fill="CFF0FC"/>
          </w:tcPr>
          <w:p>
            <w:pPr>
              <w:spacing w:after="0" w:line="103" w:lineRule="exact"/>
              <w:rPr>
                <w:sz w:val="20"/>
                <w:szCs w:val="20"/>
                <w:color w:val="auto"/>
              </w:rPr>
            </w:pPr>
            <w:r>
              <w:rPr>
                <w:rFonts w:ascii="Arial" w:cs="Arial" w:eastAsia="Arial" w:hAnsi="Arial"/>
                <w:sz w:val="10"/>
                <w:szCs w:val="10"/>
                <w:color w:val="auto"/>
                <w:w w:val="89"/>
              </w:rPr>
              <w:t>March 31,</w:t>
            </w:r>
          </w:p>
        </w:tc>
        <w:tc>
          <w:tcPr>
            <w:tcW w:w="2780" w:type="dxa"/>
            <w:vAlign w:val="bottom"/>
            <w:tcBorders>
              <w:top w:val="single" w:sz="8" w:color="auto"/>
            </w:tcBorders>
            <w:shd w:val="clear" w:color="auto" w:fill="CFF0FC"/>
          </w:tcPr>
          <w:p>
            <w:pPr>
              <w:ind w:left="20"/>
              <w:spacing w:after="0" w:line="103" w:lineRule="exact"/>
              <w:rPr>
                <w:sz w:val="20"/>
                <w:szCs w:val="20"/>
                <w:color w:val="auto"/>
              </w:rPr>
            </w:pPr>
            <w:r>
              <w:rPr>
                <w:rFonts w:ascii="Arial" w:cs="Arial" w:eastAsia="Arial" w:hAnsi="Arial"/>
                <w:sz w:val="10"/>
                <w:szCs w:val="10"/>
                <w:color w:val="auto"/>
              </w:rPr>
              <w:t>2019</w:t>
            </w:r>
          </w:p>
        </w:tc>
        <w:tc>
          <w:tcPr>
            <w:tcW w:w="300" w:type="dxa"/>
            <w:vAlign w:val="bottom"/>
            <w:tcBorders>
              <w:top w:val="single" w:sz="8" w:color="CFF0FC"/>
            </w:tcBorders>
            <w:shd w:val="clear" w:color="auto" w:fill="CFF0FC"/>
          </w:tcPr>
          <w:p>
            <w:pPr>
              <w:spacing w:after="0"/>
              <w:rPr>
                <w:sz w:val="8"/>
                <w:szCs w:val="8"/>
                <w:color w:val="auto"/>
              </w:rPr>
            </w:pPr>
          </w:p>
        </w:tc>
        <w:tc>
          <w:tcPr>
            <w:tcW w:w="2940" w:type="dxa"/>
            <w:vAlign w:val="bottom"/>
            <w:tcBorders>
              <w:top w:val="single" w:sz="8" w:color="auto"/>
            </w:tcBorders>
            <w:shd w:val="clear" w:color="auto" w:fill="CFF0FC"/>
          </w:tcPr>
          <w:p>
            <w:pPr>
              <w:spacing w:after="0" w:line="103" w:lineRule="exact"/>
              <w:rPr>
                <w:sz w:val="20"/>
                <w:szCs w:val="20"/>
                <w:color w:val="auto"/>
              </w:rPr>
            </w:pPr>
            <w:r>
              <w:rPr>
                <w:rFonts w:ascii="Arial" w:cs="Arial" w:eastAsia="Arial" w:hAnsi="Arial"/>
                <w:sz w:val="10"/>
                <w:szCs w:val="10"/>
                <w:color w:val="auto"/>
              </w:rPr>
              <w:t>April 5, 2019</w:t>
            </w:r>
          </w:p>
        </w:tc>
        <w:tc>
          <w:tcPr>
            <w:tcW w:w="280" w:type="dxa"/>
            <w:vAlign w:val="bottom"/>
            <w:tcBorders>
              <w:top w:val="single" w:sz="8" w:color="CFF0FC"/>
            </w:tcBorders>
            <w:shd w:val="clear" w:color="auto" w:fill="CFF0FC"/>
          </w:tcPr>
          <w:p>
            <w:pPr>
              <w:jc w:val="right"/>
              <w:ind w:right="70"/>
              <w:spacing w:after="0" w:line="103" w:lineRule="exact"/>
              <w:rPr>
                <w:sz w:val="20"/>
                <w:szCs w:val="20"/>
                <w:color w:val="auto"/>
              </w:rPr>
            </w:pPr>
            <w:r>
              <w:rPr>
                <w:rFonts w:ascii="Arial" w:cs="Arial" w:eastAsia="Arial" w:hAnsi="Arial"/>
                <w:sz w:val="10"/>
                <w:szCs w:val="10"/>
                <w:color w:val="auto"/>
              </w:rPr>
              <w:t>$</w:t>
            </w:r>
          </w:p>
        </w:tc>
        <w:tc>
          <w:tcPr>
            <w:tcW w:w="180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437.8</w:t>
            </w:r>
          </w:p>
        </w:tc>
        <w:tc>
          <w:tcPr>
            <w:tcW w:w="420" w:type="dxa"/>
            <w:vAlign w:val="bottom"/>
            <w:tcBorders>
              <w:top w:val="single" w:sz="8" w:color="CFF0FC"/>
            </w:tcBorders>
            <w:shd w:val="clear" w:color="auto" w:fill="CFF0FC"/>
          </w:tcPr>
          <w:p>
            <w:pPr>
              <w:jc w:val="right"/>
              <w:ind w:right="90"/>
              <w:spacing w:after="0" w:line="103" w:lineRule="exact"/>
              <w:rPr>
                <w:sz w:val="20"/>
                <w:szCs w:val="20"/>
                <w:color w:val="auto"/>
              </w:rPr>
            </w:pPr>
            <w:r>
              <w:rPr>
                <w:rFonts w:ascii="Arial" w:cs="Arial" w:eastAsia="Arial" w:hAnsi="Arial"/>
                <w:sz w:val="10"/>
                <w:szCs w:val="10"/>
                <w:color w:val="auto"/>
              </w:rPr>
              <w:t>$</w:t>
            </w:r>
          </w:p>
        </w:tc>
        <w:tc>
          <w:tcPr>
            <w:tcW w:w="24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435.0</w:t>
            </w:r>
          </w:p>
        </w:tc>
        <w:tc>
          <w:tcPr>
            <w:tcW w:w="120" w:type="dxa"/>
            <w:vAlign w:val="bottom"/>
            <w:tcBorders>
              <w:top w:val="single" w:sz="8" w:color="CFF0FC"/>
            </w:tcBorders>
            <w:shd w:val="clear" w:color="auto" w:fill="CFF0FC"/>
          </w:tcPr>
          <w:p>
            <w:pPr>
              <w:spacing w:after="0"/>
              <w:rPr>
                <w:sz w:val="8"/>
                <w:szCs w:val="8"/>
                <w:color w:val="auto"/>
              </w:rPr>
            </w:pPr>
          </w:p>
        </w:tc>
      </w:tr>
      <w:tr>
        <w:trPr>
          <w:trHeight w:val="127"/>
        </w:trPr>
        <w:tc>
          <w:tcPr>
            <w:tcW w:w="420" w:type="dxa"/>
            <w:vAlign w:val="bottom"/>
          </w:tcPr>
          <w:p>
            <w:pPr>
              <w:spacing w:after="0"/>
              <w:rPr>
                <w:sz w:val="20"/>
                <w:szCs w:val="20"/>
                <w:color w:val="auto"/>
              </w:rPr>
            </w:pPr>
            <w:r>
              <w:rPr>
                <w:rFonts w:ascii="Arial" w:cs="Arial" w:eastAsia="Arial" w:hAnsi="Arial"/>
                <w:sz w:val="10"/>
                <w:szCs w:val="10"/>
                <w:color w:val="auto"/>
                <w:w w:val="86"/>
              </w:rPr>
              <w:t>December</w:t>
            </w:r>
          </w:p>
        </w:tc>
        <w:tc>
          <w:tcPr>
            <w:tcW w:w="2780" w:type="dxa"/>
            <w:vAlign w:val="bottom"/>
          </w:tcPr>
          <w:p>
            <w:pPr>
              <w:ind w:left="20"/>
              <w:spacing w:after="0"/>
              <w:rPr>
                <w:sz w:val="20"/>
                <w:szCs w:val="20"/>
                <w:color w:val="auto"/>
              </w:rPr>
            </w:pPr>
            <w:r>
              <w:rPr>
                <w:rFonts w:ascii="Arial" w:cs="Arial" w:eastAsia="Arial" w:hAnsi="Arial"/>
                <w:sz w:val="10"/>
                <w:szCs w:val="10"/>
                <w:color w:val="auto"/>
              </w:rPr>
              <w:t>31, 2018</w:t>
            </w:r>
          </w:p>
        </w:tc>
        <w:tc>
          <w:tcPr>
            <w:tcW w:w="300" w:type="dxa"/>
            <w:vAlign w:val="bottom"/>
          </w:tcPr>
          <w:p>
            <w:pPr>
              <w:spacing w:after="0"/>
              <w:rPr>
                <w:sz w:val="11"/>
                <w:szCs w:val="11"/>
                <w:color w:val="auto"/>
              </w:rPr>
            </w:pPr>
          </w:p>
        </w:tc>
        <w:tc>
          <w:tcPr>
            <w:tcW w:w="2940" w:type="dxa"/>
            <w:vAlign w:val="bottom"/>
          </w:tcPr>
          <w:p>
            <w:pPr>
              <w:spacing w:after="0"/>
              <w:rPr>
                <w:sz w:val="20"/>
                <w:szCs w:val="20"/>
                <w:color w:val="auto"/>
              </w:rPr>
            </w:pPr>
            <w:r>
              <w:rPr>
                <w:rFonts w:ascii="Arial" w:cs="Arial" w:eastAsia="Arial" w:hAnsi="Arial"/>
                <w:sz w:val="10"/>
                <w:szCs w:val="10"/>
                <w:color w:val="auto"/>
              </w:rPr>
              <w:t>February 13, 2019</w:t>
            </w:r>
          </w:p>
        </w:tc>
        <w:tc>
          <w:tcPr>
            <w:tcW w:w="2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241.3</w:t>
            </w:r>
          </w:p>
        </w:tc>
        <w:tc>
          <w:tcPr>
            <w:tcW w:w="420" w:type="dxa"/>
            <w:vAlign w:val="bottom"/>
          </w:tcPr>
          <w:p>
            <w:pPr>
              <w:spacing w:after="0"/>
              <w:rPr>
                <w:sz w:val="11"/>
                <w:szCs w:val="11"/>
                <w:color w:val="auto"/>
              </w:rPr>
            </w:pPr>
          </w:p>
        </w:tc>
        <w:tc>
          <w:tcPr>
            <w:tcW w:w="2420" w:type="dxa"/>
            <w:vAlign w:val="bottom"/>
          </w:tcPr>
          <w:p>
            <w:pPr>
              <w:jc w:val="right"/>
              <w:spacing w:after="0"/>
              <w:rPr>
                <w:sz w:val="20"/>
                <w:szCs w:val="20"/>
                <w:color w:val="auto"/>
              </w:rPr>
            </w:pPr>
            <w:r>
              <w:rPr>
                <w:rFonts w:ascii="Arial" w:cs="Arial" w:eastAsia="Arial" w:hAnsi="Arial"/>
                <w:sz w:val="10"/>
                <w:szCs w:val="10"/>
                <w:color w:val="auto"/>
              </w:rPr>
              <w:t>238.5</w:t>
            </w:r>
          </w:p>
        </w:tc>
        <w:tc>
          <w:tcPr>
            <w:tcW w:w="120" w:type="dxa"/>
            <w:vAlign w:val="bottom"/>
          </w:tcPr>
          <w:p>
            <w:pPr>
              <w:spacing w:after="0"/>
              <w:rPr>
                <w:sz w:val="11"/>
                <w:szCs w:val="1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Contributions</w:t>
      </w:r>
    </w:p>
    <w:p>
      <w:pPr>
        <w:spacing w:after="0" w:line="152"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All capital contributions to us continue to be allocated 98% to the limited partner and 2% to our general partner; however, no units will be issued for those contributions. During the three months ended March 31, 2019, TRC did not make contributions to us.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Preferred Units</w:t>
      </w:r>
    </w:p>
    <w:p>
      <w:pPr>
        <w:spacing w:after="0" w:line="152" w:lineRule="exact"/>
        <w:rPr>
          <w:sz w:val="20"/>
          <w:szCs w:val="20"/>
          <w:color w:val="auto"/>
        </w:rPr>
      </w:pPr>
    </w:p>
    <w:p>
      <w:pPr>
        <w:jc w:val="both"/>
        <w:spacing w:after="0" w:line="315" w:lineRule="auto"/>
        <w:rPr>
          <w:sz w:val="20"/>
          <w:szCs w:val="20"/>
          <w:color w:val="auto"/>
        </w:rPr>
      </w:pPr>
      <w:r>
        <w:rPr>
          <w:rFonts w:ascii="Arial" w:cs="Arial" w:eastAsia="Arial" w:hAnsi="Arial"/>
          <w:sz w:val="11"/>
          <w:szCs w:val="11"/>
          <w:color w:val="auto"/>
        </w:rPr>
        <w:t>Our Preferred Units rank senior to our common units with respect to distribution rights. Distributions on our 5,000,000 Preferred Units are cumulative from the date of original issue in October 2015 and are payable monthly in arrears on the 15th day of each month of each year, when, as and if declared by the board of directors of our general partner. Distributions on our Preferred Units are payable out of amounts legally available at a rate equal to 9.0% per annum. On and after November 1, 2020, distributions on our Preferred Units will accumulate at an annual floating rate equal to the one-month LIBOR plus a spread of 7.71%.</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We paid $2.8 million of distributions to the holders of Preferred Units (“Preferred Unitholders”) for the three months ended March 31, 2019.</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Subsequent Event</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In April 2019, the board of directors of our general partner declared a cash distribution of $0.1875 per Preferred Unit, resulting in approximately $0.9 million in distributions that will be paid on May 15, 2019.</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432" w:right="19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color w:val="auto"/>
        </w:rPr>
        <w:t>Note 13 — Derivative Instruments and Hedging Activities</w:t>
      </w:r>
    </w:p>
    <w:p>
      <w:pPr>
        <w:spacing w:after="0" w:line="80" w:lineRule="exact"/>
        <w:rPr>
          <w:sz w:val="20"/>
          <w:szCs w:val="20"/>
          <w:color w:val="auto"/>
        </w:rPr>
      </w:pPr>
    </w:p>
    <w:p>
      <w:pPr>
        <w:jc w:val="both"/>
        <w:spacing w:after="0" w:line="305" w:lineRule="auto"/>
        <w:rPr>
          <w:sz w:val="20"/>
          <w:szCs w:val="20"/>
          <w:color w:val="auto"/>
        </w:rPr>
      </w:pPr>
      <w:r>
        <w:rPr>
          <w:rFonts w:ascii="Arial" w:cs="Arial" w:eastAsia="Arial" w:hAnsi="Arial"/>
          <w:sz w:val="11"/>
          <w:szCs w:val="11"/>
          <w:color w:val="auto"/>
        </w:rPr>
        <w:t>The primary purpose of our commodity risk management activities is to manage our exposure to commodity price risk and reduce volatility in our operating cash flow due to fluctuations in commodity prices. We have entered into derivative instruments to hedge the commodity price risks associated with a portion of our expected (i) natural gas, NGL, and condensate equity volumes in our Gathering and Processing operations that result from percent-of-proceeds processing arrangements, (ii) future commodity purchases and sales in our Logistics and Marketing segment and (iii) natural gas transportation basis risk in our Logistics and Marketing segment. The hedge positions associated with (i) and (ii) above will move favorably in periods of falling commodity prices and unfavorably in periods of rising commodity prices and are designated as cash flow hedges for accounting purposes.</w:t>
      </w:r>
    </w:p>
    <w:p>
      <w:pPr>
        <w:spacing w:after="0" w:line="110" w:lineRule="exact"/>
        <w:rPr>
          <w:sz w:val="20"/>
          <w:szCs w:val="20"/>
          <w:color w:val="auto"/>
        </w:rPr>
      </w:pPr>
    </w:p>
    <w:p>
      <w:pPr>
        <w:jc w:val="both"/>
        <w:spacing w:after="0" w:line="315" w:lineRule="auto"/>
        <w:rPr>
          <w:sz w:val="20"/>
          <w:szCs w:val="20"/>
          <w:color w:val="auto"/>
        </w:rPr>
      </w:pPr>
      <w:r>
        <w:rPr>
          <w:rFonts w:ascii="Arial" w:cs="Arial" w:eastAsia="Arial" w:hAnsi="Arial"/>
          <w:sz w:val="11"/>
          <w:szCs w:val="11"/>
          <w:color w:val="auto"/>
        </w:rPr>
        <w:t>The hedges generally match the NGL product composition and the NGL delivery points of our physical equity volumes. Our natural gas hedges are a mixture of specific gas delivery points and Henry Hub. The NGL hedges may be transacted as specific NGL hedges or as baskets of ethane, propane, normal butane, isobutane and natural gasoline based upon our expected equity NGL composition. We believe this approach avoids uncorrelated risks resulting from employing hedges on crude oil or other petroleum products as “proxy” hedges of NGL prices. Our natural gas and NGL hedges are settled using published index prices for delivery at various locations.</w:t>
      </w:r>
    </w:p>
    <w:p>
      <w:pPr>
        <w:spacing w:after="0" w:line="104"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We hedge a portion of our condensate equity volumes using crude oil hedges that are based on the NYMEX futures contracts for West Texas Intermediate light, sweet crude, which approximates the prices received for condensate. This exposes us to a market differential risk if the NYMEX futures do not move in exact parity with the sales price of our underlying condensate equity volumes.</w:t>
      </w: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We also enter into derivative instruments to help manage other short-term commodity-related business risks. We have not designated these derivatives as hedges and record changes in fair value and cash settlements to revenues.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At March 31, 2019, the notional volumes of our commodity derivative contracts were: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8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0"/>
              </w:rPr>
              <w:t>Commodity</w:t>
            </w:r>
          </w:p>
        </w:tc>
        <w:tc>
          <w:tcPr>
            <w:tcW w:w="480" w:type="dxa"/>
            <w:vAlign w:val="bottom"/>
          </w:tcPr>
          <w:p>
            <w:pPr>
              <w:spacing w:after="0"/>
              <w:rPr>
                <w:sz w:val="10"/>
                <w:szCs w:val="10"/>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6"/>
              </w:rPr>
              <w:t>Instrument</w:t>
            </w:r>
          </w:p>
        </w:tc>
        <w:tc>
          <w:tcPr>
            <w:tcW w:w="540" w:type="dxa"/>
            <w:vAlign w:val="bottom"/>
          </w:tcPr>
          <w:p>
            <w:pPr>
              <w:spacing w:after="0"/>
              <w:rPr>
                <w:sz w:val="10"/>
                <w:szCs w:val="10"/>
                <w:color w:val="auto"/>
              </w:rPr>
            </w:pPr>
          </w:p>
        </w:tc>
        <w:tc>
          <w:tcPr>
            <w:tcW w:w="1000" w:type="dxa"/>
            <w:vAlign w:val="bottom"/>
            <w:gridSpan w:val="2"/>
          </w:tcPr>
          <w:p>
            <w:pPr>
              <w:jc w:val="center"/>
              <w:ind w:right="820"/>
              <w:spacing w:after="0"/>
              <w:rPr>
                <w:sz w:val="20"/>
                <w:szCs w:val="20"/>
                <w:color w:val="auto"/>
              </w:rPr>
            </w:pPr>
            <w:r>
              <w:rPr>
                <w:rFonts w:ascii="Arial" w:cs="Arial" w:eastAsia="Arial" w:hAnsi="Arial"/>
                <w:sz w:val="10"/>
                <w:szCs w:val="10"/>
                <w:b w:val="1"/>
                <w:bCs w:val="1"/>
                <w:color w:val="auto"/>
                <w:w w:val="92"/>
              </w:rPr>
              <w:t>Unit</w:t>
            </w:r>
          </w:p>
        </w:tc>
        <w:tc>
          <w:tcPr>
            <w:tcW w:w="1600" w:type="dxa"/>
            <w:vAlign w:val="bottom"/>
            <w:gridSpan w:val="3"/>
          </w:tcPr>
          <w:p>
            <w:pPr>
              <w:jc w:val="right"/>
              <w:ind w:right="580"/>
              <w:spacing w:after="0"/>
              <w:rPr>
                <w:sz w:val="20"/>
                <w:szCs w:val="20"/>
                <w:color w:val="auto"/>
              </w:rPr>
            </w:pPr>
            <w:r>
              <w:rPr>
                <w:rFonts w:ascii="Arial" w:cs="Arial" w:eastAsia="Arial" w:hAnsi="Arial"/>
                <w:sz w:val="10"/>
                <w:szCs w:val="10"/>
                <w:b w:val="1"/>
                <w:bCs w:val="1"/>
                <w:color w:val="auto"/>
              </w:rPr>
              <w:t>2019</w:t>
            </w:r>
          </w:p>
        </w:tc>
        <w:tc>
          <w:tcPr>
            <w:tcW w:w="1460" w:type="dxa"/>
            <w:vAlign w:val="bottom"/>
            <w:gridSpan w:val="3"/>
          </w:tcPr>
          <w:p>
            <w:pPr>
              <w:jc w:val="right"/>
              <w:ind w:right="560"/>
              <w:spacing w:after="0"/>
              <w:rPr>
                <w:sz w:val="20"/>
                <w:szCs w:val="20"/>
                <w:color w:val="auto"/>
              </w:rPr>
            </w:pPr>
            <w:r>
              <w:rPr>
                <w:rFonts w:ascii="Arial" w:cs="Arial" w:eastAsia="Arial" w:hAnsi="Arial"/>
                <w:sz w:val="10"/>
                <w:szCs w:val="10"/>
                <w:b w:val="1"/>
                <w:bCs w:val="1"/>
                <w:color w:val="auto"/>
              </w:rPr>
              <w:t>2020</w:t>
            </w:r>
          </w:p>
        </w:tc>
        <w:tc>
          <w:tcPr>
            <w:tcW w:w="1480" w:type="dxa"/>
            <w:vAlign w:val="bottom"/>
            <w:gridSpan w:val="3"/>
          </w:tcPr>
          <w:p>
            <w:pPr>
              <w:jc w:val="right"/>
              <w:ind w:right="580"/>
              <w:spacing w:after="0"/>
              <w:rPr>
                <w:sz w:val="20"/>
                <w:szCs w:val="20"/>
                <w:color w:val="auto"/>
              </w:rPr>
            </w:pPr>
            <w:r>
              <w:rPr>
                <w:rFonts w:ascii="Arial" w:cs="Arial" w:eastAsia="Arial" w:hAnsi="Arial"/>
                <w:sz w:val="10"/>
                <w:szCs w:val="10"/>
                <w:b w:val="1"/>
                <w:bCs w:val="1"/>
                <w:color w:val="auto"/>
              </w:rPr>
              <w:t>2021</w:t>
            </w:r>
          </w:p>
        </w:tc>
        <w:tc>
          <w:tcPr>
            <w:tcW w:w="9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2022</w:t>
            </w:r>
          </w:p>
        </w:tc>
        <w:tc>
          <w:tcPr>
            <w:tcW w:w="600" w:type="dxa"/>
            <w:vAlign w:val="bottom"/>
          </w:tcPr>
          <w:p>
            <w:pPr>
              <w:spacing w:after="0"/>
              <w:rPr>
                <w:sz w:val="10"/>
                <w:szCs w:val="10"/>
                <w:color w:val="auto"/>
              </w:rPr>
            </w:pPr>
          </w:p>
        </w:tc>
        <w:tc>
          <w:tcPr>
            <w:tcW w:w="9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2023</w:t>
            </w:r>
          </w:p>
        </w:tc>
        <w:tc>
          <w:tcPr>
            <w:tcW w:w="120" w:type="dxa"/>
            <w:vAlign w:val="bottom"/>
          </w:tcPr>
          <w:p>
            <w:pPr>
              <w:spacing w:after="0"/>
              <w:rPr>
                <w:sz w:val="10"/>
                <w:szCs w:val="10"/>
                <w:color w:val="auto"/>
              </w:rPr>
            </w:pPr>
          </w:p>
        </w:tc>
      </w:tr>
      <w:tr>
        <w:trPr>
          <w:trHeight w:val="20"/>
        </w:trPr>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480" w:type="dxa"/>
            <w:vAlign w:val="bottom"/>
            <w:shd w:val="clear" w:color="auto" w:fill="CFF0FC"/>
          </w:tcPr>
          <w:p>
            <w:pPr>
              <w:spacing w:after="0"/>
              <w:rPr>
                <w:sz w:val="8"/>
                <w:szCs w:val="8"/>
                <w:color w:val="auto"/>
              </w:rPr>
            </w:pPr>
          </w:p>
        </w:tc>
        <w:tc>
          <w:tcPr>
            <w:tcW w:w="500" w:type="dxa"/>
            <w:vAlign w:val="bottom"/>
            <w:shd w:val="clear" w:color="auto" w:fill="CFF0FC"/>
          </w:tcPr>
          <w:p>
            <w:pPr>
              <w:jc w:val="center"/>
              <w:spacing w:after="0" w:line="103" w:lineRule="exact"/>
              <w:rPr>
                <w:sz w:val="20"/>
                <w:szCs w:val="20"/>
                <w:color w:val="auto"/>
              </w:rPr>
            </w:pPr>
            <w:r>
              <w:rPr>
                <w:rFonts w:ascii="Arial" w:cs="Arial" w:eastAsia="Arial" w:hAnsi="Arial"/>
                <w:sz w:val="10"/>
                <w:szCs w:val="10"/>
                <w:color w:val="auto"/>
                <w:w w:val="89"/>
              </w:rPr>
              <w:t>Natural Gas</w:t>
            </w:r>
          </w:p>
        </w:tc>
        <w:tc>
          <w:tcPr>
            <w:tcW w:w="5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500" w:type="dxa"/>
            <w:vAlign w:val="bottom"/>
            <w:shd w:val="clear" w:color="auto" w:fill="CFF0FC"/>
          </w:tcPr>
          <w:p>
            <w:pPr>
              <w:jc w:val="center"/>
              <w:spacing w:after="0" w:line="103" w:lineRule="exact"/>
              <w:rPr>
                <w:sz w:val="20"/>
                <w:szCs w:val="20"/>
                <w:color w:val="auto"/>
              </w:rPr>
            </w:pPr>
            <w:r>
              <w:rPr>
                <w:rFonts w:ascii="Arial" w:cs="Arial" w:eastAsia="Arial" w:hAnsi="Arial"/>
                <w:sz w:val="10"/>
                <w:szCs w:val="10"/>
                <w:color w:val="auto"/>
                <w:w w:val="86"/>
              </w:rPr>
              <w:t>Swaps</w:t>
            </w:r>
          </w:p>
        </w:tc>
        <w:tc>
          <w:tcPr>
            <w:tcW w:w="420" w:type="dxa"/>
            <w:vAlign w:val="bottom"/>
            <w:shd w:val="clear" w:color="auto" w:fill="CFF0FC"/>
          </w:tcPr>
          <w:p>
            <w:pPr>
              <w:spacing w:after="0"/>
              <w:rPr>
                <w:sz w:val="8"/>
                <w:szCs w:val="8"/>
                <w:color w:val="auto"/>
              </w:rPr>
            </w:pPr>
          </w:p>
        </w:tc>
        <w:tc>
          <w:tcPr>
            <w:tcW w:w="1540" w:type="dxa"/>
            <w:vAlign w:val="bottom"/>
            <w:gridSpan w:val="3"/>
            <w:shd w:val="clear" w:color="auto" w:fill="CFF0FC"/>
          </w:tcPr>
          <w:p>
            <w:pPr>
              <w:jc w:val="center"/>
              <w:ind w:right="260"/>
              <w:spacing w:after="0" w:line="103" w:lineRule="exact"/>
              <w:rPr>
                <w:sz w:val="20"/>
                <w:szCs w:val="20"/>
                <w:color w:val="auto"/>
              </w:rPr>
            </w:pPr>
            <w:r>
              <w:rPr>
                <w:rFonts w:ascii="Arial" w:cs="Arial" w:eastAsia="Arial" w:hAnsi="Arial"/>
                <w:sz w:val="10"/>
                <w:szCs w:val="10"/>
                <w:color w:val="auto"/>
                <w:w w:val="99"/>
              </w:rPr>
              <w:t>MMBtu/d</w:t>
            </w:r>
          </w:p>
        </w:tc>
        <w:tc>
          <w:tcPr>
            <w:tcW w:w="1600" w:type="dxa"/>
            <w:vAlign w:val="bottom"/>
            <w:gridSpan w:val="3"/>
            <w:shd w:val="clear" w:color="auto" w:fill="CFF0FC"/>
          </w:tcPr>
          <w:p>
            <w:pPr>
              <w:jc w:val="right"/>
              <w:ind w:right="580"/>
              <w:spacing w:after="0" w:line="103" w:lineRule="exact"/>
              <w:rPr>
                <w:sz w:val="20"/>
                <w:szCs w:val="20"/>
                <w:color w:val="auto"/>
              </w:rPr>
            </w:pPr>
            <w:r>
              <w:rPr>
                <w:rFonts w:ascii="Arial" w:cs="Arial" w:eastAsia="Arial" w:hAnsi="Arial"/>
                <w:sz w:val="10"/>
                <w:szCs w:val="10"/>
                <w:color w:val="auto"/>
              </w:rPr>
              <w:t>175,364</w:t>
            </w:r>
          </w:p>
        </w:tc>
        <w:tc>
          <w:tcPr>
            <w:tcW w:w="1460" w:type="dxa"/>
            <w:vAlign w:val="bottom"/>
            <w:gridSpan w:val="3"/>
            <w:shd w:val="clear" w:color="auto" w:fill="CFF0FC"/>
          </w:tcPr>
          <w:p>
            <w:pPr>
              <w:jc w:val="right"/>
              <w:ind w:right="560"/>
              <w:spacing w:after="0" w:line="103" w:lineRule="exact"/>
              <w:rPr>
                <w:sz w:val="20"/>
                <w:szCs w:val="20"/>
                <w:color w:val="auto"/>
              </w:rPr>
            </w:pPr>
            <w:r>
              <w:rPr>
                <w:rFonts w:ascii="Arial" w:cs="Arial" w:eastAsia="Arial" w:hAnsi="Arial"/>
                <w:sz w:val="10"/>
                <w:szCs w:val="10"/>
                <w:color w:val="auto"/>
              </w:rPr>
              <w:t>79,930</w:t>
            </w:r>
          </w:p>
        </w:tc>
        <w:tc>
          <w:tcPr>
            <w:tcW w:w="1480" w:type="dxa"/>
            <w:vAlign w:val="bottom"/>
            <w:gridSpan w:val="3"/>
            <w:shd w:val="clear" w:color="auto" w:fill="CFF0FC"/>
          </w:tcPr>
          <w:p>
            <w:pPr>
              <w:jc w:val="right"/>
              <w:ind w:right="580"/>
              <w:spacing w:after="0" w:line="103" w:lineRule="exact"/>
              <w:rPr>
                <w:sz w:val="20"/>
                <w:szCs w:val="20"/>
                <w:color w:val="auto"/>
              </w:rPr>
            </w:pPr>
            <w:r>
              <w:rPr>
                <w:rFonts w:ascii="Arial" w:cs="Arial" w:eastAsia="Arial" w:hAnsi="Arial"/>
                <w:sz w:val="10"/>
                <w:szCs w:val="10"/>
                <w:color w:val="auto"/>
              </w:rPr>
              <w:t>52,055</w:t>
            </w:r>
          </w:p>
        </w:tc>
        <w:tc>
          <w:tcPr>
            <w:tcW w:w="900" w:type="dxa"/>
            <w:vAlign w:val="bottom"/>
            <w:gridSpan w:val="2"/>
            <w:shd w:val="clear" w:color="auto" w:fill="CFF0FC"/>
          </w:tcPr>
          <w:p>
            <w:pPr>
              <w:jc w:val="right"/>
              <w:spacing w:after="0" w:line="103" w:lineRule="exact"/>
              <w:rPr>
                <w:sz w:val="20"/>
                <w:szCs w:val="20"/>
                <w:color w:val="auto"/>
              </w:rPr>
            </w:pPr>
            <w:r>
              <w:rPr>
                <w:rFonts w:ascii="Arial" w:cs="Arial" w:eastAsia="Arial" w:hAnsi="Arial"/>
                <w:sz w:val="10"/>
                <w:szCs w:val="10"/>
                <w:color w:val="auto"/>
              </w:rPr>
              <w:t>-</w:t>
            </w:r>
          </w:p>
        </w:tc>
        <w:tc>
          <w:tcPr>
            <w:tcW w:w="60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spacing w:after="0" w:line="103"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8"/>
                <w:szCs w:val="8"/>
                <w:color w:val="auto"/>
              </w:rPr>
            </w:pPr>
          </w:p>
        </w:tc>
      </w:tr>
      <w:tr>
        <w:trPr>
          <w:trHeight w:val="113"/>
        </w:trPr>
        <w:tc>
          <w:tcPr>
            <w:tcW w:w="480" w:type="dxa"/>
            <w:vAlign w:val="bottom"/>
          </w:tcPr>
          <w:p>
            <w:pPr>
              <w:spacing w:after="0"/>
              <w:rPr>
                <w:sz w:val="9"/>
                <w:szCs w:val="9"/>
                <w:color w:val="auto"/>
              </w:rPr>
            </w:pPr>
          </w:p>
        </w:tc>
        <w:tc>
          <w:tcPr>
            <w:tcW w:w="1000" w:type="dxa"/>
            <w:vAlign w:val="bottom"/>
            <w:gridSpan w:val="2"/>
          </w:tcPr>
          <w:p>
            <w:pPr>
              <w:jc w:val="center"/>
              <w:ind w:right="520"/>
              <w:spacing w:after="0" w:line="113" w:lineRule="exact"/>
              <w:rPr>
                <w:sz w:val="20"/>
                <w:szCs w:val="20"/>
                <w:color w:val="auto"/>
              </w:rPr>
            </w:pPr>
            <w:r>
              <w:rPr>
                <w:rFonts w:ascii="Arial" w:cs="Arial" w:eastAsia="Arial" w:hAnsi="Arial"/>
                <w:sz w:val="10"/>
                <w:szCs w:val="10"/>
                <w:color w:val="auto"/>
                <w:w w:val="89"/>
              </w:rPr>
              <w:t>Natural Gas</w:t>
            </w:r>
          </w:p>
        </w:tc>
        <w:tc>
          <w:tcPr>
            <w:tcW w:w="1400" w:type="dxa"/>
            <w:vAlign w:val="bottom"/>
            <w:gridSpan w:val="3"/>
          </w:tcPr>
          <w:p>
            <w:pPr>
              <w:jc w:val="center"/>
              <w:ind w:left="10"/>
              <w:spacing w:after="0" w:line="113" w:lineRule="exact"/>
              <w:rPr>
                <w:sz w:val="20"/>
                <w:szCs w:val="20"/>
                <w:color w:val="auto"/>
              </w:rPr>
            </w:pPr>
            <w:r>
              <w:rPr>
                <w:rFonts w:ascii="Arial" w:cs="Arial" w:eastAsia="Arial" w:hAnsi="Arial"/>
                <w:sz w:val="10"/>
                <w:szCs w:val="10"/>
                <w:color w:val="auto"/>
                <w:w w:val="87"/>
              </w:rPr>
              <w:t>Basis Swaps</w:t>
            </w:r>
          </w:p>
        </w:tc>
        <w:tc>
          <w:tcPr>
            <w:tcW w:w="1540" w:type="dxa"/>
            <w:vAlign w:val="bottom"/>
            <w:gridSpan w:val="3"/>
          </w:tcPr>
          <w:p>
            <w:pPr>
              <w:jc w:val="center"/>
              <w:ind w:right="260"/>
              <w:spacing w:after="0" w:line="113" w:lineRule="exact"/>
              <w:rPr>
                <w:sz w:val="20"/>
                <w:szCs w:val="20"/>
                <w:color w:val="auto"/>
              </w:rPr>
            </w:pPr>
            <w:r>
              <w:rPr>
                <w:rFonts w:ascii="Arial" w:cs="Arial" w:eastAsia="Arial" w:hAnsi="Arial"/>
                <w:sz w:val="10"/>
                <w:szCs w:val="10"/>
                <w:color w:val="auto"/>
                <w:w w:val="99"/>
              </w:rPr>
              <w:t>MMBtu/d</w:t>
            </w:r>
          </w:p>
        </w:tc>
        <w:tc>
          <w:tcPr>
            <w:tcW w:w="1600" w:type="dxa"/>
            <w:vAlign w:val="bottom"/>
            <w:gridSpan w:val="3"/>
          </w:tcPr>
          <w:p>
            <w:pPr>
              <w:jc w:val="right"/>
              <w:ind w:right="580"/>
              <w:spacing w:after="0" w:line="113" w:lineRule="exact"/>
              <w:rPr>
                <w:sz w:val="20"/>
                <w:szCs w:val="20"/>
                <w:color w:val="auto"/>
              </w:rPr>
            </w:pPr>
            <w:r>
              <w:rPr>
                <w:rFonts w:ascii="Arial" w:cs="Arial" w:eastAsia="Arial" w:hAnsi="Arial"/>
                <w:sz w:val="10"/>
                <w:szCs w:val="10"/>
                <w:color w:val="auto"/>
              </w:rPr>
              <w:t>111,100</w:t>
            </w:r>
          </w:p>
        </w:tc>
        <w:tc>
          <w:tcPr>
            <w:tcW w:w="1460" w:type="dxa"/>
            <w:vAlign w:val="bottom"/>
            <w:gridSpan w:val="3"/>
          </w:tcPr>
          <w:p>
            <w:pPr>
              <w:jc w:val="right"/>
              <w:ind w:right="560"/>
              <w:spacing w:after="0" w:line="113" w:lineRule="exact"/>
              <w:rPr>
                <w:sz w:val="20"/>
                <w:szCs w:val="20"/>
                <w:color w:val="auto"/>
              </w:rPr>
            </w:pPr>
            <w:r>
              <w:rPr>
                <w:rFonts w:ascii="Arial" w:cs="Arial" w:eastAsia="Arial" w:hAnsi="Arial"/>
                <w:sz w:val="10"/>
                <w:szCs w:val="10"/>
                <w:color w:val="auto"/>
              </w:rPr>
              <w:t>189,119</w:t>
            </w:r>
          </w:p>
        </w:tc>
        <w:tc>
          <w:tcPr>
            <w:tcW w:w="1480" w:type="dxa"/>
            <w:vAlign w:val="bottom"/>
            <w:gridSpan w:val="3"/>
          </w:tcPr>
          <w:p>
            <w:pPr>
              <w:jc w:val="right"/>
              <w:ind w:right="580"/>
              <w:spacing w:after="0" w:line="113" w:lineRule="exact"/>
              <w:rPr>
                <w:sz w:val="20"/>
                <w:szCs w:val="20"/>
                <w:color w:val="auto"/>
              </w:rPr>
            </w:pPr>
            <w:r>
              <w:rPr>
                <w:rFonts w:ascii="Arial" w:cs="Arial" w:eastAsia="Arial" w:hAnsi="Arial"/>
                <w:sz w:val="10"/>
                <w:szCs w:val="10"/>
                <w:color w:val="auto"/>
              </w:rPr>
              <w:t>166,658</w:t>
            </w:r>
          </w:p>
        </w:tc>
        <w:tc>
          <w:tcPr>
            <w:tcW w:w="1500" w:type="dxa"/>
            <w:vAlign w:val="bottom"/>
            <w:gridSpan w:val="3"/>
          </w:tcPr>
          <w:p>
            <w:pPr>
              <w:jc w:val="right"/>
              <w:ind w:right="600"/>
              <w:spacing w:after="0" w:line="113" w:lineRule="exact"/>
              <w:rPr>
                <w:sz w:val="20"/>
                <w:szCs w:val="20"/>
                <w:color w:val="auto"/>
              </w:rPr>
            </w:pPr>
            <w:r>
              <w:rPr>
                <w:rFonts w:ascii="Arial" w:cs="Arial" w:eastAsia="Arial" w:hAnsi="Arial"/>
                <w:sz w:val="10"/>
                <w:szCs w:val="10"/>
                <w:color w:val="auto"/>
              </w:rPr>
              <w:t>150,000</w:t>
            </w:r>
          </w:p>
        </w:tc>
        <w:tc>
          <w:tcPr>
            <w:tcW w:w="1020" w:type="dxa"/>
            <w:vAlign w:val="bottom"/>
            <w:gridSpan w:val="3"/>
          </w:tcPr>
          <w:p>
            <w:pPr>
              <w:jc w:val="right"/>
              <w:ind w:right="120"/>
              <w:spacing w:after="0" w:line="113" w:lineRule="exact"/>
              <w:rPr>
                <w:sz w:val="20"/>
                <w:szCs w:val="20"/>
                <w:color w:val="auto"/>
              </w:rPr>
            </w:pPr>
            <w:r>
              <w:rPr>
                <w:rFonts w:ascii="Arial" w:cs="Arial" w:eastAsia="Arial" w:hAnsi="Arial"/>
                <w:sz w:val="10"/>
                <w:szCs w:val="10"/>
                <w:color w:val="auto"/>
              </w:rPr>
              <w:t>95,000</w:t>
            </w:r>
          </w:p>
        </w:tc>
      </w:tr>
      <w:tr>
        <w:trPr>
          <w:trHeight w:val="113"/>
        </w:trPr>
        <w:tc>
          <w:tcPr>
            <w:tcW w:w="4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center"/>
              <w:ind w:right="500"/>
              <w:spacing w:after="0" w:line="113" w:lineRule="exact"/>
              <w:rPr>
                <w:sz w:val="20"/>
                <w:szCs w:val="20"/>
                <w:color w:val="auto"/>
              </w:rPr>
            </w:pPr>
            <w:r>
              <w:rPr>
                <w:rFonts w:ascii="Arial" w:cs="Arial" w:eastAsia="Arial" w:hAnsi="Arial"/>
                <w:sz w:val="10"/>
                <w:szCs w:val="10"/>
                <w:color w:val="auto"/>
              </w:rPr>
              <w:t>NGL</w:t>
            </w:r>
          </w:p>
        </w:tc>
        <w:tc>
          <w:tcPr>
            <w:tcW w:w="48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center"/>
              <w:ind w:right="420"/>
              <w:spacing w:after="0" w:line="113" w:lineRule="exact"/>
              <w:rPr>
                <w:sz w:val="20"/>
                <w:szCs w:val="20"/>
                <w:color w:val="auto"/>
              </w:rPr>
            </w:pPr>
            <w:r>
              <w:rPr>
                <w:rFonts w:ascii="Arial" w:cs="Arial" w:eastAsia="Arial" w:hAnsi="Arial"/>
                <w:sz w:val="10"/>
                <w:szCs w:val="10"/>
                <w:color w:val="auto"/>
                <w:w w:val="86"/>
              </w:rPr>
              <w:t>Swaps</w:t>
            </w:r>
          </w:p>
        </w:tc>
        <w:tc>
          <w:tcPr>
            <w:tcW w:w="1540" w:type="dxa"/>
            <w:vAlign w:val="bottom"/>
            <w:gridSpan w:val="3"/>
            <w:shd w:val="clear" w:color="auto" w:fill="CFF0FC"/>
          </w:tcPr>
          <w:p>
            <w:pPr>
              <w:jc w:val="center"/>
              <w:ind w:right="280"/>
              <w:spacing w:after="0" w:line="113" w:lineRule="exact"/>
              <w:rPr>
                <w:sz w:val="20"/>
                <w:szCs w:val="20"/>
                <w:color w:val="auto"/>
              </w:rPr>
            </w:pPr>
            <w:r>
              <w:rPr>
                <w:rFonts w:ascii="Arial" w:cs="Arial" w:eastAsia="Arial" w:hAnsi="Arial"/>
                <w:sz w:val="10"/>
                <w:szCs w:val="10"/>
                <w:color w:val="auto"/>
                <w:w w:val="96"/>
              </w:rPr>
              <w:t>Bbl/d</w:t>
            </w:r>
          </w:p>
        </w:tc>
        <w:tc>
          <w:tcPr>
            <w:tcW w:w="1600" w:type="dxa"/>
            <w:vAlign w:val="bottom"/>
            <w:gridSpan w:val="3"/>
            <w:shd w:val="clear" w:color="auto" w:fill="CFF0FC"/>
          </w:tcPr>
          <w:p>
            <w:pPr>
              <w:jc w:val="right"/>
              <w:ind w:right="580"/>
              <w:spacing w:after="0" w:line="113" w:lineRule="exact"/>
              <w:rPr>
                <w:sz w:val="20"/>
                <w:szCs w:val="20"/>
                <w:color w:val="auto"/>
              </w:rPr>
            </w:pPr>
            <w:r>
              <w:rPr>
                <w:rFonts w:ascii="Arial" w:cs="Arial" w:eastAsia="Arial" w:hAnsi="Arial"/>
                <w:sz w:val="10"/>
                <w:szCs w:val="10"/>
                <w:color w:val="auto"/>
              </w:rPr>
              <w:t>17,903</w:t>
            </w:r>
          </w:p>
        </w:tc>
        <w:tc>
          <w:tcPr>
            <w:tcW w:w="1460" w:type="dxa"/>
            <w:vAlign w:val="bottom"/>
            <w:gridSpan w:val="3"/>
            <w:shd w:val="clear" w:color="auto" w:fill="CFF0FC"/>
          </w:tcPr>
          <w:p>
            <w:pPr>
              <w:jc w:val="right"/>
              <w:ind w:right="560"/>
              <w:spacing w:after="0" w:line="113" w:lineRule="exact"/>
              <w:rPr>
                <w:sz w:val="20"/>
                <w:szCs w:val="20"/>
                <w:color w:val="auto"/>
              </w:rPr>
            </w:pPr>
            <w:r>
              <w:rPr>
                <w:rFonts w:ascii="Arial" w:cs="Arial" w:eastAsia="Arial" w:hAnsi="Arial"/>
                <w:sz w:val="10"/>
                <w:szCs w:val="10"/>
                <w:color w:val="auto"/>
              </w:rPr>
              <w:t>13,267</w:t>
            </w:r>
          </w:p>
        </w:tc>
        <w:tc>
          <w:tcPr>
            <w:tcW w:w="1480" w:type="dxa"/>
            <w:vAlign w:val="bottom"/>
            <w:gridSpan w:val="3"/>
            <w:shd w:val="clear" w:color="auto" w:fill="CFF0FC"/>
          </w:tcPr>
          <w:p>
            <w:pPr>
              <w:jc w:val="right"/>
              <w:ind w:right="580"/>
              <w:spacing w:after="0" w:line="113" w:lineRule="exact"/>
              <w:rPr>
                <w:sz w:val="20"/>
                <w:szCs w:val="20"/>
                <w:color w:val="auto"/>
              </w:rPr>
            </w:pPr>
            <w:r>
              <w:rPr>
                <w:rFonts w:ascii="Arial" w:cs="Arial" w:eastAsia="Arial" w:hAnsi="Arial"/>
                <w:sz w:val="10"/>
                <w:szCs w:val="10"/>
                <w:color w:val="auto"/>
              </w:rPr>
              <w:t>3,676</w:t>
            </w:r>
          </w:p>
        </w:tc>
        <w:tc>
          <w:tcPr>
            <w:tcW w:w="900" w:type="dxa"/>
            <w:vAlign w:val="bottom"/>
            <w:gridSpan w:val="2"/>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6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9"/>
                <w:szCs w:val="9"/>
                <w:color w:val="auto"/>
              </w:rPr>
            </w:pPr>
          </w:p>
        </w:tc>
      </w:tr>
      <w:tr>
        <w:trPr>
          <w:trHeight w:val="113"/>
        </w:trPr>
        <w:tc>
          <w:tcPr>
            <w:tcW w:w="480" w:type="dxa"/>
            <w:vAlign w:val="bottom"/>
          </w:tcPr>
          <w:p>
            <w:pPr>
              <w:spacing w:after="0"/>
              <w:rPr>
                <w:sz w:val="9"/>
                <w:szCs w:val="9"/>
                <w:color w:val="auto"/>
              </w:rPr>
            </w:pPr>
          </w:p>
        </w:tc>
        <w:tc>
          <w:tcPr>
            <w:tcW w:w="1000" w:type="dxa"/>
            <w:vAlign w:val="bottom"/>
            <w:gridSpan w:val="2"/>
          </w:tcPr>
          <w:p>
            <w:pPr>
              <w:jc w:val="center"/>
              <w:ind w:right="500"/>
              <w:spacing w:after="0" w:line="113" w:lineRule="exact"/>
              <w:rPr>
                <w:sz w:val="20"/>
                <w:szCs w:val="20"/>
                <w:color w:val="auto"/>
              </w:rPr>
            </w:pPr>
            <w:r>
              <w:rPr>
                <w:rFonts w:ascii="Arial" w:cs="Arial" w:eastAsia="Arial" w:hAnsi="Arial"/>
                <w:sz w:val="10"/>
                <w:szCs w:val="10"/>
                <w:color w:val="auto"/>
              </w:rPr>
              <w:t>NGL</w:t>
            </w:r>
          </w:p>
        </w:tc>
        <w:tc>
          <w:tcPr>
            <w:tcW w:w="480" w:type="dxa"/>
            <w:vAlign w:val="bottom"/>
          </w:tcPr>
          <w:p>
            <w:pPr>
              <w:spacing w:after="0"/>
              <w:rPr>
                <w:sz w:val="9"/>
                <w:szCs w:val="9"/>
                <w:color w:val="auto"/>
              </w:rPr>
            </w:pPr>
          </w:p>
        </w:tc>
        <w:tc>
          <w:tcPr>
            <w:tcW w:w="920" w:type="dxa"/>
            <w:vAlign w:val="bottom"/>
            <w:gridSpan w:val="2"/>
          </w:tcPr>
          <w:p>
            <w:pPr>
              <w:jc w:val="center"/>
              <w:ind w:right="420"/>
              <w:spacing w:after="0" w:line="113" w:lineRule="exact"/>
              <w:rPr>
                <w:sz w:val="20"/>
                <w:szCs w:val="20"/>
                <w:color w:val="auto"/>
              </w:rPr>
            </w:pPr>
            <w:r>
              <w:rPr>
                <w:rFonts w:ascii="Arial" w:cs="Arial" w:eastAsia="Arial" w:hAnsi="Arial"/>
                <w:sz w:val="10"/>
                <w:szCs w:val="10"/>
                <w:color w:val="auto"/>
                <w:w w:val="88"/>
              </w:rPr>
              <w:t>Futures</w:t>
            </w:r>
          </w:p>
        </w:tc>
        <w:tc>
          <w:tcPr>
            <w:tcW w:w="1540" w:type="dxa"/>
            <w:vAlign w:val="bottom"/>
            <w:gridSpan w:val="3"/>
          </w:tcPr>
          <w:p>
            <w:pPr>
              <w:jc w:val="center"/>
              <w:ind w:right="280"/>
              <w:spacing w:after="0" w:line="113" w:lineRule="exact"/>
              <w:rPr>
                <w:sz w:val="20"/>
                <w:szCs w:val="20"/>
                <w:color w:val="auto"/>
              </w:rPr>
            </w:pPr>
            <w:r>
              <w:rPr>
                <w:rFonts w:ascii="Arial" w:cs="Arial" w:eastAsia="Arial" w:hAnsi="Arial"/>
                <w:sz w:val="10"/>
                <w:szCs w:val="10"/>
                <w:color w:val="auto"/>
                <w:w w:val="96"/>
              </w:rPr>
              <w:t>Bbl/d</w:t>
            </w:r>
          </w:p>
        </w:tc>
        <w:tc>
          <w:tcPr>
            <w:tcW w:w="1600" w:type="dxa"/>
            <w:vAlign w:val="bottom"/>
            <w:gridSpan w:val="3"/>
          </w:tcPr>
          <w:p>
            <w:pPr>
              <w:jc w:val="right"/>
              <w:ind w:right="580"/>
              <w:spacing w:after="0" w:line="113" w:lineRule="exact"/>
              <w:rPr>
                <w:sz w:val="20"/>
                <w:szCs w:val="20"/>
                <w:color w:val="auto"/>
              </w:rPr>
            </w:pPr>
            <w:r>
              <w:rPr>
                <w:rFonts w:ascii="Arial" w:cs="Arial" w:eastAsia="Arial" w:hAnsi="Arial"/>
                <w:sz w:val="10"/>
                <w:szCs w:val="10"/>
                <w:color w:val="auto"/>
              </w:rPr>
              <w:t>9,735</w:t>
            </w:r>
          </w:p>
        </w:tc>
        <w:tc>
          <w:tcPr>
            <w:tcW w:w="1460" w:type="dxa"/>
            <w:vAlign w:val="bottom"/>
            <w:gridSpan w:val="3"/>
          </w:tcPr>
          <w:p>
            <w:pPr>
              <w:jc w:val="right"/>
              <w:ind w:right="560"/>
              <w:spacing w:after="0" w:line="113" w:lineRule="exact"/>
              <w:rPr>
                <w:sz w:val="20"/>
                <w:szCs w:val="20"/>
                <w:color w:val="auto"/>
              </w:rPr>
            </w:pPr>
            <w:r>
              <w:rPr>
                <w:rFonts w:ascii="Arial" w:cs="Arial" w:eastAsia="Arial" w:hAnsi="Arial"/>
                <w:sz w:val="10"/>
                <w:szCs w:val="10"/>
                <w:color w:val="auto"/>
              </w:rPr>
              <w:t>4,645</w:t>
            </w:r>
          </w:p>
        </w:tc>
        <w:tc>
          <w:tcPr>
            <w:tcW w:w="1480" w:type="dxa"/>
            <w:vAlign w:val="bottom"/>
            <w:gridSpan w:val="3"/>
          </w:tcPr>
          <w:p>
            <w:pPr>
              <w:jc w:val="right"/>
              <w:ind w:right="580"/>
              <w:spacing w:after="0" w:line="113" w:lineRule="exact"/>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90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r>
      <w:tr>
        <w:trPr>
          <w:trHeight w:val="113"/>
        </w:trPr>
        <w:tc>
          <w:tcPr>
            <w:tcW w:w="4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center"/>
              <w:ind w:right="500"/>
              <w:spacing w:after="0" w:line="113" w:lineRule="exact"/>
              <w:rPr>
                <w:sz w:val="20"/>
                <w:szCs w:val="20"/>
                <w:color w:val="auto"/>
              </w:rPr>
            </w:pPr>
            <w:r>
              <w:rPr>
                <w:rFonts w:ascii="Arial" w:cs="Arial" w:eastAsia="Arial" w:hAnsi="Arial"/>
                <w:sz w:val="10"/>
                <w:szCs w:val="10"/>
                <w:color w:val="auto"/>
              </w:rPr>
              <w:t>NGL</w:t>
            </w:r>
          </w:p>
        </w:tc>
        <w:tc>
          <w:tcPr>
            <w:tcW w:w="48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center"/>
              <w:ind w:right="420"/>
              <w:spacing w:after="0" w:line="113" w:lineRule="exact"/>
              <w:rPr>
                <w:sz w:val="20"/>
                <w:szCs w:val="20"/>
                <w:color w:val="auto"/>
              </w:rPr>
            </w:pPr>
            <w:r>
              <w:rPr>
                <w:rFonts w:ascii="Arial" w:cs="Arial" w:eastAsia="Arial" w:hAnsi="Arial"/>
                <w:sz w:val="10"/>
                <w:szCs w:val="10"/>
                <w:color w:val="auto"/>
                <w:w w:val="86"/>
              </w:rPr>
              <w:t>Options</w:t>
            </w:r>
          </w:p>
        </w:tc>
        <w:tc>
          <w:tcPr>
            <w:tcW w:w="1540" w:type="dxa"/>
            <w:vAlign w:val="bottom"/>
            <w:gridSpan w:val="3"/>
            <w:shd w:val="clear" w:color="auto" w:fill="CFF0FC"/>
          </w:tcPr>
          <w:p>
            <w:pPr>
              <w:jc w:val="center"/>
              <w:ind w:right="280"/>
              <w:spacing w:after="0" w:line="113" w:lineRule="exact"/>
              <w:rPr>
                <w:sz w:val="20"/>
                <w:szCs w:val="20"/>
                <w:color w:val="auto"/>
              </w:rPr>
            </w:pPr>
            <w:r>
              <w:rPr>
                <w:rFonts w:ascii="Arial" w:cs="Arial" w:eastAsia="Arial" w:hAnsi="Arial"/>
                <w:sz w:val="10"/>
                <w:szCs w:val="10"/>
                <w:color w:val="auto"/>
                <w:w w:val="96"/>
              </w:rPr>
              <w:t>Bbl/d</w:t>
            </w:r>
          </w:p>
        </w:tc>
        <w:tc>
          <w:tcPr>
            <w:tcW w:w="1600" w:type="dxa"/>
            <w:vAlign w:val="bottom"/>
            <w:gridSpan w:val="3"/>
            <w:shd w:val="clear" w:color="auto" w:fill="CFF0FC"/>
          </w:tcPr>
          <w:p>
            <w:pPr>
              <w:jc w:val="right"/>
              <w:ind w:right="580"/>
              <w:spacing w:after="0" w:line="113" w:lineRule="exact"/>
              <w:rPr>
                <w:sz w:val="20"/>
                <w:szCs w:val="20"/>
                <w:color w:val="auto"/>
              </w:rPr>
            </w:pPr>
            <w:r>
              <w:rPr>
                <w:rFonts w:ascii="Arial" w:cs="Arial" w:eastAsia="Arial" w:hAnsi="Arial"/>
                <w:sz w:val="10"/>
                <w:szCs w:val="10"/>
                <w:color w:val="auto"/>
              </w:rPr>
              <w:t>410</w:t>
            </w:r>
          </w:p>
        </w:tc>
        <w:tc>
          <w:tcPr>
            <w:tcW w:w="1460" w:type="dxa"/>
            <w:vAlign w:val="bottom"/>
            <w:gridSpan w:val="3"/>
            <w:shd w:val="clear" w:color="auto" w:fill="CFF0FC"/>
          </w:tcPr>
          <w:p>
            <w:pPr>
              <w:jc w:val="right"/>
              <w:ind w:right="560"/>
              <w:spacing w:after="0" w:line="113" w:lineRule="exact"/>
              <w:rPr>
                <w:sz w:val="20"/>
                <w:szCs w:val="20"/>
                <w:color w:val="auto"/>
              </w:rPr>
            </w:pPr>
            <w:r>
              <w:rPr>
                <w:rFonts w:ascii="Arial" w:cs="Arial" w:eastAsia="Arial" w:hAnsi="Arial"/>
                <w:sz w:val="10"/>
                <w:szCs w:val="10"/>
                <w:color w:val="auto"/>
              </w:rPr>
              <w:t>-</w:t>
            </w:r>
          </w:p>
        </w:tc>
        <w:tc>
          <w:tcPr>
            <w:tcW w:w="1480" w:type="dxa"/>
            <w:vAlign w:val="bottom"/>
            <w:gridSpan w:val="3"/>
            <w:shd w:val="clear" w:color="auto" w:fill="CFF0FC"/>
          </w:tcPr>
          <w:p>
            <w:pPr>
              <w:jc w:val="right"/>
              <w:ind w:right="580"/>
              <w:spacing w:after="0" w:line="113"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6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9"/>
                <w:szCs w:val="9"/>
                <w:color w:val="auto"/>
              </w:rPr>
            </w:pPr>
          </w:p>
        </w:tc>
      </w:tr>
      <w:tr>
        <w:trPr>
          <w:trHeight w:val="113"/>
        </w:trPr>
        <w:tc>
          <w:tcPr>
            <w:tcW w:w="480" w:type="dxa"/>
            <w:vAlign w:val="bottom"/>
          </w:tcPr>
          <w:p>
            <w:pPr>
              <w:spacing w:after="0"/>
              <w:rPr>
                <w:sz w:val="9"/>
                <w:szCs w:val="9"/>
                <w:color w:val="auto"/>
              </w:rPr>
            </w:pPr>
          </w:p>
        </w:tc>
        <w:tc>
          <w:tcPr>
            <w:tcW w:w="1000" w:type="dxa"/>
            <w:vAlign w:val="bottom"/>
            <w:gridSpan w:val="2"/>
          </w:tcPr>
          <w:p>
            <w:pPr>
              <w:jc w:val="center"/>
              <w:ind w:right="500"/>
              <w:spacing w:after="0" w:line="113" w:lineRule="exact"/>
              <w:rPr>
                <w:sz w:val="20"/>
                <w:szCs w:val="20"/>
                <w:color w:val="auto"/>
              </w:rPr>
            </w:pPr>
            <w:r>
              <w:rPr>
                <w:rFonts w:ascii="Arial" w:cs="Arial" w:eastAsia="Arial" w:hAnsi="Arial"/>
                <w:sz w:val="10"/>
                <w:szCs w:val="10"/>
                <w:color w:val="auto"/>
                <w:w w:val="85"/>
              </w:rPr>
              <w:t>Condensate</w:t>
            </w:r>
          </w:p>
        </w:tc>
        <w:tc>
          <w:tcPr>
            <w:tcW w:w="480" w:type="dxa"/>
            <w:vAlign w:val="bottom"/>
          </w:tcPr>
          <w:p>
            <w:pPr>
              <w:spacing w:after="0"/>
              <w:rPr>
                <w:sz w:val="9"/>
                <w:szCs w:val="9"/>
                <w:color w:val="auto"/>
              </w:rPr>
            </w:pPr>
          </w:p>
        </w:tc>
        <w:tc>
          <w:tcPr>
            <w:tcW w:w="920" w:type="dxa"/>
            <w:vAlign w:val="bottom"/>
            <w:gridSpan w:val="2"/>
          </w:tcPr>
          <w:p>
            <w:pPr>
              <w:jc w:val="center"/>
              <w:ind w:right="420"/>
              <w:spacing w:after="0" w:line="113" w:lineRule="exact"/>
              <w:rPr>
                <w:sz w:val="20"/>
                <w:szCs w:val="20"/>
                <w:color w:val="auto"/>
              </w:rPr>
            </w:pPr>
            <w:r>
              <w:rPr>
                <w:rFonts w:ascii="Arial" w:cs="Arial" w:eastAsia="Arial" w:hAnsi="Arial"/>
                <w:sz w:val="10"/>
                <w:szCs w:val="10"/>
                <w:color w:val="auto"/>
                <w:w w:val="86"/>
              </w:rPr>
              <w:t>Swaps</w:t>
            </w:r>
          </w:p>
        </w:tc>
        <w:tc>
          <w:tcPr>
            <w:tcW w:w="1540" w:type="dxa"/>
            <w:vAlign w:val="bottom"/>
            <w:gridSpan w:val="3"/>
          </w:tcPr>
          <w:p>
            <w:pPr>
              <w:jc w:val="center"/>
              <w:ind w:right="280"/>
              <w:spacing w:after="0" w:line="113" w:lineRule="exact"/>
              <w:rPr>
                <w:sz w:val="20"/>
                <w:szCs w:val="20"/>
                <w:color w:val="auto"/>
              </w:rPr>
            </w:pPr>
            <w:r>
              <w:rPr>
                <w:rFonts w:ascii="Arial" w:cs="Arial" w:eastAsia="Arial" w:hAnsi="Arial"/>
                <w:sz w:val="10"/>
                <w:szCs w:val="10"/>
                <w:color w:val="auto"/>
                <w:w w:val="96"/>
              </w:rPr>
              <w:t>Bbl/d</w:t>
            </w:r>
          </w:p>
        </w:tc>
        <w:tc>
          <w:tcPr>
            <w:tcW w:w="1600" w:type="dxa"/>
            <w:vAlign w:val="bottom"/>
            <w:gridSpan w:val="3"/>
          </w:tcPr>
          <w:p>
            <w:pPr>
              <w:jc w:val="right"/>
              <w:ind w:right="580"/>
              <w:spacing w:after="0" w:line="113" w:lineRule="exact"/>
              <w:rPr>
                <w:sz w:val="20"/>
                <w:szCs w:val="20"/>
                <w:color w:val="auto"/>
              </w:rPr>
            </w:pPr>
            <w:r>
              <w:rPr>
                <w:rFonts w:ascii="Arial" w:cs="Arial" w:eastAsia="Arial" w:hAnsi="Arial"/>
                <w:sz w:val="10"/>
                <w:szCs w:val="10"/>
                <w:color w:val="auto"/>
              </w:rPr>
              <w:t>4,266</w:t>
            </w:r>
          </w:p>
        </w:tc>
        <w:tc>
          <w:tcPr>
            <w:tcW w:w="1460" w:type="dxa"/>
            <w:vAlign w:val="bottom"/>
            <w:gridSpan w:val="3"/>
          </w:tcPr>
          <w:p>
            <w:pPr>
              <w:jc w:val="right"/>
              <w:ind w:right="560"/>
              <w:spacing w:after="0" w:line="113" w:lineRule="exact"/>
              <w:rPr>
                <w:sz w:val="20"/>
                <w:szCs w:val="20"/>
                <w:color w:val="auto"/>
              </w:rPr>
            </w:pPr>
            <w:r>
              <w:rPr>
                <w:rFonts w:ascii="Arial" w:cs="Arial" w:eastAsia="Arial" w:hAnsi="Arial"/>
                <w:sz w:val="10"/>
                <w:szCs w:val="10"/>
                <w:color w:val="auto"/>
              </w:rPr>
              <w:t>2,390</w:t>
            </w:r>
          </w:p>
        </w:tc>
        <w:tc>
          <w:tcPr>
            <w:tcW w:w="1480" w:type="dxa"/>
            <w:vAlign w:val="bottom"/>
            <w:gridSpan w:val="3"/>
          </w:tcPr>
          <w:p>
            <w:pPr>
              <w:jc w:val="right"/>
              <w:ind w:right="580"/>
              <w:spacing w:after="0" w:line="113" w:lineRule="exact"/>
              <w:rPr>
                <w:sz w:val="20"/>
                <w:szCs w:val="20"/>
                <w:color w:val="auto"/>
              </w:rPr>
            </w:pPr>
            <w:r>
              <w:rPr>
                <w:rFonts w:ascii="Arial" w:cs="Arial" w:eastAsia="Arial" w:hAnsi="Arial"/>
                <w:sz w:val="10"/>
                <w:szCs w:val="10"/>
                <w:color w:val="auto"/>
              </w:rPr>
              <w:t>1,404</w:t>
            </w:r>
          </w:p>
        </w:tc>
        <w:tc>
          <w:tcPr>
            <w:tcW w:w="90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9"/>
                <w:szCs w:val="9"/>
                <w:color w:val="auto"/>
              </w:rPr>
            </w:pPr>
          </w:p>
        </w:tc>
        <w:tc>
          <w:tcPr>
            <w:tcW w:w="90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r>
      <w:tr>
        <w:trPr>
          <w:trHeight w:val="113"/>
        </w:trPr>
        <w:tc>
          <w:tcPr>
            <w:tcW w:w="4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center"/>
              <w:ind w:right="500"/>
              <w:spacing w:after="0" w:line="113" w:lineRule="exact"/>
              <w:rPr>
                <w:sz w:val="20"/>
                <w:szCs w:val="20"/>
                <w:color w:val="auto"/>
              </w:rPr>
            </w:pPr>
            <w:r>
              <w:rPr>
                <w:rFonts w:ascii="Arial" w:cs="Arial" w:eastAsia="Arial" w:hAnsi="Arial"/>
                <w:sz w:val="10"/>
                <w:szCs w:val="10"/>
                <w:color w:val="auto"/>
                <w:w w:val="85"/>
              </w:rPr>
              <w:t>Condensate</w:t>
            </w:r>
          </w:p>
        </w:tc>
        <w:tc>
          <w:tcPr>
            <w:tcW w:w="48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center"/>
              <w:ind w:right="420"/>
              <w:spacing w:after="0" w:line="113" w:lineRule="exact"/>
              <w:rPr>
                <w:sz w:val="20"/>
                <w:szCs w:val="20"/>
                <w:color w:val="auto"/>
              </w:rPr>
            </w:pPr>
            <w:r>
              <w:rPr>
                <w:rFonts w:ascii="Arial" w:cs="Arial" w:eastAsia="Arial" w:hAnsi="Arial"/>
                <w:sz w:val="10"/>
                <w:szCs w:val="10"/>
                <w:color w:val="auto"/>
                <w:w w:val="86"/>
              </w:rPr>
              <w:t>Options</w:t>
            </w:r>
          </w:p>
        </w:tc>
        <w:tc>
          <w:tcPr>
            <w:tcW w:w="1540" w:type="dxa"/>
            <w:vAlign w:val="bottom"/>
            <w:gridSpan w:val="3"/>
            <w:shd w:val="clear" w:color="auto" w:fill="CFF0FC"/>
          </w:tcPr>
          <w:p>
            <w:pPr>
              <w:jc w:val="center"/>
              <w:ind w:right="280"/>
              <w:spacing w:after="0" w:line="113" w:lineRule="exact"/>
              <w:rPr>
                <w:sz w:val="20"/>
                <w:szCs w:val="20"/>
                <w:color w:val="auto"/>
              </w:rPr>
            </w:pPr>
            <w:r>
              <w:rPr>
                <w:rFonts w:ascii="Arial" w:cs="Arial" w:eastAsia="Arial" w:hAnsi="Arial"/>
                <w:sz w:val="10"/>
                <w:szCs w:val="10"/>
                <w:color w:val="auto"/>
                <w:w w:val="96"/>
              </w:rPr>
              <w:t>Bbl/d</w:t>
            </w:r>
          </w:p>
        </w:tc>
        <w:tc>
          <w:tcPr>
            <w:tcW w:w="1600" w:type="dxa"/>
            <w:vAlign w:val="bottom"/>
            <w:gridSpan w:val="3"/>
            <w:shd w:val="clear" w:color="auto" w:fill="CFF0FC"/>
          </w:tcPr>
          <w:p>
            <w:pPr>
              <w:jc w:val="right"/>
              <w:ind w:right="580"/>
              <w:spacing w:after="0" w:line="113" w:lineRule="exact"/>
              <w:rPr>
                <w:sz w:val="20"/>
                <w:szCs w:val="20"/>
                <w:color w:val="auto"/>
              </w:rPr>
            </w:pPr>
            <w:r>
              <w:rPr>
                <w:rFonts w:ascii="Arial" w:cs="Arial" w:eastAsia="Arial" w:hAnsi="Arial"/>
                <w:sz w:val="10"/>
                <w:szCs w:val="10"/>
                <w:color w:val="auto"/>
              </w:rPr>
              <w:t>590</w:t>
            </w:r>
          </w:p>
        </w:tc>
        <w:tc>
          <w:tcPr>
            <w:tcW w:w="1460" w:type="dxa"/>
            <w:vAlign w:val="bottom"/>
            <w:gridSpan w:val="3"/>
            <w:shd w:val="clear" w:color="auto" w:fill="CFF0FC"/>
          </w:tcPr>
          <w:p>
            <w:pPr>
              <w:jc w:val="right"/>
              <w:ind w:right="560"/>
              <w:spacing w:after="0" w:line="113" w:lineRule="exact"/>
              <w:rPr>
                <w:sz w:val="20"/>
                <w:szCs w:val="20"/>
                <w:color w:val="auto"/>
              </w:rPr>
            </w:pPr>
            <w:r>
              <w:rPr>
                <w:rFonts w:ascii="Arial" w:cs="Arial" w:eastAsia="Arial" w:hAnsi="Arial"/>
                <w:sz w:val="10"/>
                <w:szCs w:val="10"/>
                <w:color w:val="auto"/>
              </w:rPr>
              <w:t>-</w:t>
            </w:r>
          </w:p>
        </w:tc>
        <w:tc>
          <w:tcPr>
            <w:tcW w:w="1480" w:type="dxa"/>
            <w:vAlign w:val="bottom"/>
            <w:gridSpan w:val="3"/>
            <w:shd w:val="clear" w:color="auto" w:fill="CFF0FC"/>
          </w:tcPr>
          <w:p>
            <w:pPr>
              <w:jc w:val="right"/>
              <w:ind w:right="580"/>
              <w:spacing w:after="0" w:line="113"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6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9"/>
                <w:szCs w:val="9"/>
                <w:color w:val="auto"/>
              </w:rPr>
            </w:pPr>
          </w:p>
        </w:tc>
      </w:tr>
    </w:tbl>
    <w:p>
      <w:pPr>
        <w:spacing w:after="0" w:line="142" w:lineRule="exact"/>
        <w:rPr>
          <w:sz w:val="20"/>
          <w:szCs w:val="20"/>
          <w:color w:val="auto"/>
        </w:rPr>
      </w:pPr>
    </w:p>
    <w:p>
      <w:pPr>
        <w:jc w:val="both"/>
        <w:ind w:right="20"/>
        <w:spacing w:after="0" w:line="315" w:lineRule="auto"/>
        <w:rPr>
          <w:sz w:val="20"/>
          <w:szCs w:val="20"/>
          <w:color w:val="auto"/>
        </w:rPr>
      </w:pPr>
      <w:r>
        <w:rPr>
          <w:rFonts w:ascii="Arial" w:cs="Arial" w:eastAsia="Arial" w:hAnsi="Arial"/>
          <w:sz w:val="11"/>
          <w:szCs w:val="11"/>
          <w:color w:val="auto"/>
        </w:rPr>
        <w:t>Our derivative contracts are subject to netting arrangements that permit our contracting subsidiaries to net cash settle offsetting asset and liability positions with the same counterparty within the same Targa entity. We record derivative assets and liabilities on our Consolidated Balance Sheets on a gross basis, without considering the effect of master netting arrangements. The following schedules reflect the fair value of our derivative instruments and their location on our Consolidated Balance Sheets as well as pro forma reporting assuming that we reported derivatives subject to master netting agreements on a net basis: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580" w:type="dxa"/>
            <w:vAlign w:val="bottom"/>
          </w:tcPr>
          <w:p>
            <w:pPr>
              <w:spacing w:after="0"/>
              <w:rPr>
                <w:sz w:val="10"/>
                <w:szCs w:val="10"/>
                <w:color w:val="auto"/>
              </w:rPr>
            </w:pP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4"/>
              </w:rPr>
              <w:t>Balance Sheet</w:t>
            </w:r>
          </w:p>
        </w:tc>
        <w:tc>
          <w:tcPr>
            <w:tcW w:w="200" w:type="dxa"/>
            <w:vAlign w:val="bottom"/>
          </w:tcPr>
          <w:p>
            <w:pPr>
              <w:spacing w:after="0"/>
              <w:rPr>
                <w:sz w:val="10"/>
                <w:szCs w:val="10"/>
                <w:color w:val="auto"/>
              </w:rPr>
            </w:pPr>
          </w:p>
        </w:tc>
        <w:tc>
          <w:tcPr>
            <w:tcW w:w="2400" w:type="dxa"/>
            <w:vAlign w:val="bottom"/>
            <w:gridSpan w:val="4"/>
          </w:tcPr>
          <w:p>
            <w:pPr>
              <w:jc w:val="right"/>
              <w:ind w:right="590"/>
              <w:spacing w:after="0"/>
              <w:rPr>
                <w:sz w:val="20"/>
                <w:szCs w:val="20"/>
                <w:color w:val="auto"/>
              </w:rPr>
            </w:pPr>
            <w:r>
              <w:rPr>
                <w:rFonts w:ascii="Arial" w:cs="Arial" w:eastAsia="Arial" w:hAnsi="Arial"/>
                <w:sz w:val="10"/>
                <w:szCs w:val="10"/>
                <w:b w:val="1"/>
                <w:bCs w:val="1"/>
                <w:color w:val="auto"/>
              </w:rPr>
              <w:t>Fair Value as of March 31, 2019</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gridSpan w:val="5"/>
          </w:tcPr>
          <w:p>
            <w:pPr>
              <w:ind w:left="340"/>
              <w:spacing w:after="0"/>
              <w:rPr>
                <w:sz w:val="20"/>
                <w:szCs w:val="20"/>
                <w:color w:val="auto"/>
              </w:rPr>
            </w:pPr>
            <w:r>
              <w:rPr>
                <w:rFonts w:ascii="Arial" w:cs="Arial" w:eastAsia="Arial" w:hAnsi="Arial"/>
                <w:sz w:val="10"/>
                <w:szCs w:val="10"/>
                <w:b w:val="1"/>
                <w:bCs w:val="1"/>
                <w:color w:val="auto"/>
              </w:rPr>
              <w:t>Fair Value as of December 31, 2018</w:t>
            </w:r>
          </w:p>
        </w:tc>
        <w:tc>
          <w:tcPr>
            <w:tcW w:w="0" w:type="dxa"/>
            <w:vAlign w:val="bottom"/>
          </w:tcPr>
          <w:p>
            <w:pPr>
              <w:spacing w:after="0"/>
              <w:rPr>
                <w:sz w:val="1"/>
                <w:szCs w:val="1"/>
                <w:color w:val="auto"/>
              </w:rPr>
            </w:pPr>
          </w:p>
        </w:tc>
      </w:tr>
      <w:tr>
        <w:trPr>
          <w:trHeight w:val="97"/>
        </w:trPr>
        <w:tc>
          <w:tcPr>
            <w:tcW w:w="458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2"/>
          </w:tcPr>
          <w:p>
            <w:pPr>
              <w:jc w:val="center"/>
              <w:ind w:right="500"/>
              <w:spacing w:after="0" w:line="97" w:lineRule="exact"/>
              <w:rPr>
                <w:sz w:val="20"/>
                <w:szCs w:val="20"/>
                <w:color w:val="auto"/>
              </w:rPr>
            </w:pPr>
            <w:r>
              <w:rPr>
                <w:rFonts w:ascii="Arial" w:cs="Arial" w:eastAsia="Arial" w:hAnsi="Arial"/>
                <w:sz w:val="10"/>
                <w:szCs w:val="10"/>
                <w:b w:val="1"/>
                <w:bCs w:val="1"/>
                <w:color w:val="auto"/>
                <w:w w:val="96"/>
              </w:rPr>
              <w:t>Derivative</w:t>
            </w:r>
          </w:p>
        </w:tc>
        <w:tc>
          <w:tcPr>
            <w:tcW w:w="2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ind w:right="310"/>
              <w:spacing w:after="0" w:line="97" w:lineRule="exact"/>
              <w:rPr>
                <w:sz w:val="20"/>
                <w:szCs w:val="20"/>
                <w:color w:val="auto"/>
              </w:rPr>
            </w:pPr>
            <w:r>
              <w:rPr>
                <w:rFonts w:ascii="Arial" w:cs="Arial" w:eastAsia="Arial" w:hAnsi="Arial"/>
                <w:sz w:val="10"/>
                <w:szCs w:val="10"/>
                <w:b w:val="1"/>
                <w:bCs w:val="1"/>
                <w:color w:val="auto"/>
              </w:rPr>
              <w:t>Derivative</w:t>
            </w:r>
          </w:p>
        </w:tc>
        <w:tc>
          <w:tcPr>
            <w:tcW w:w="1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330"/>
              <w:spacing w:after="0" w:line="97" w:lineRule="exact"/>
              <w:rPr>
                <w:sz w:val="20"/>
                <w:szCs w:val="20"/>
                <w:color w:val="auto"/>
              </w:rPr>
            </w:pPr>
            <w:r>
              <w:rPr>
                <w:rFonts w:ascii="Arial" w:cs="Arial" w:eastAsia="Arial" w:hAnsi="Arial"/>
                <w:sz w:val="10"/>
                <w:szCs w:val="10"/>
                <w:b w:val="1"/>
                <w:bCs w:val="1"/>
                <w:color w:val="auto"/>
              </w:rPr>
              <w:t>Derivative</w:t>
            </w:r>
          </w:p>
        </w:tc>
        <w:tc>
          <w:tcPr>
            <w:tcW w:w="2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ind w:left="140"/>
              <w:spacing w:after="0" w:line="97" w:lineRule="exact"/>
              <w:rPr>
                <w:sz w:val="20"/>
                <w:szCs w:val="20"/>
                <w:color w:val="auto"/>
              </w:rPr>
            </w:pPr>
            <w:r>
              <w:rPr>
                <w:rFonts w:ascii="Arial" w:cs="Arial" w:eastAsia="Arial" w:hAnsi="Arial"/>
                <w:sz w:val="10"/>
                <w:szCs w:val="10"/>
                <w:b w:val="1"/>
                <w:bCs w:val="1"/>
                <w:color w:val="auto"/>
              </w:rPr>
              <w:t>Derivative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rPr>
                <w:sz w:val="10"/>
                <w:szCs w:val="10"/>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Location</w:t>
            </w:r>
          </w:p>
        </w:tc>
        <w:tc>
          <w:tcPr>
            <w:tcW w:w="200" w:type="dxa"/>
            <w:vAlign w:val="bottom"/>
          </w:tcPr>
          <w:p>
            <w:pPr>
              <w:spacing w:after="0"/>
              <w:rPr>
                <w:sz w:val="10"/>
                <w:szCs w:val="10"/>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79"/>
              </w:rPr>
              <w:t>Assets</w:t>
            </w:r>
          </w:p>
        </w:tc>
        <w:tc>
          <w:tcPr>
            <w:tcW w:w="200" w:type="dxa"/>
            <w:vAlign w:val="bottom"/>
          </w:tcPr>
          <w:p>
            <w:pPr>
              <w:spacing w:after="0"/>
              <w:rPr>
                <w:sz w:val="10"/>
                <w:szCs w:val="10"/>
                <w:color w:val="auto"/>
              </w:rPr>
            </w:pPr>
          </w:p>
        </w:tc>
        <w:tc>
          <w:tcPr>
            <w:tcW w:w="960" w:type="dxa"/>
            <w:vAlign w:val="bottom"/>
          </w:tcPr>
          <w:p>
            <w:pPr>
              <w:jc w:val="right"/>
              <w:ind w:right="330"/>
              <w:spacing w:after="0"/>
              <w:rPr>
                <w:sz w:val="20"/>
                <w:szCs w:val="20"/>
                <w:color w:val="auto"/>
              </w:rPr>
            </w:pPr>
            <w:r>
              <w:rPr>
                <w:rFonts w:ascii="Arial" w:cs="Arial" w:eastAsia="Arial" w:hAnsi="Arial"/>
                <w:sz w:val="10"/>
                <w:szCs w:val="10"/>
                <w:b w:val="1"/>
                <w:bCs w:val="1"/>
                <w:color w:val="auto"/>
              </w:rPr>
              <w:t>Liabilities</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right"/>
              <w:ind w:right="430"/>
              <w:spacing w:after="0"/>
              <w:rPr>
                <w:sz w:val="20"/>
                <w:szCs w:val="20"/>
                <w:color w:val="auto"/>
              </w:rPr>
            </w:pPr>
            <w:r>
              <w:rPr>
                <w:rFonts w:ascii="Arial" w:cs="Arial" w:eastAsia="Arial" w:hAnsi="Arial"/>
                <w:sz w:val="10"/>
                <w:szCs w:val="10"/>
                <w:b w:val="1"/>
                <w:bCs w:val="1"/>
                <w:color w:val="auto"/>
              </w:rPr>
              <w:t>Assets</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ind w:left="140"/>
              <w:spacing w:after="0"/>
              <w:rPr>
                <w:sz w:val="20"/>
                <w:szCs w:val="20"/>
                <w:color w:val="auto"/>
              </w:rPr>
            </w:pPr>
            <w:r>
              <w:rPr>
                <w:rFonts w:ascii="Arial" w:cs="Arial" w:eastAsia="Arial" w:hAnsi="Arial"/>
                <w:sz w:val="10"/>
                <w:szCs w:val="10"/>
                <w:b w:val="1"/>
                <w:bCs w:val="1"/>
                <w:color w:val="auto"/>
              </w:rPr>
              <w:t>Liabilities</w:t>
            </w:r>
          </w:p>
        </w:tc>
        <w:tc>
          <w:tcPr>
            <w:tcW w:w="0" w:type="dxa"/>
            <w:vAlign w:val="bottom"/>
          </w:tcPr>
          <w:p>
            <w:pPr>
              <w:spacing w:after="0"/>
              <w:rPr>
                <w:sz w:val="1"/>
                <w:szCs w:val="1"/>
                <w:color w:val="auto"/>
              </w:rPr>
            </w:pPr>
          </w:p>
        </w:tc>
      </w:tr>
      <w:tr>
        <w:trPr>
          <w:trHeight w:val="102"/>
        </w:trPr>
        <w:tc>
          <w:tcPr>
            <w:tcW w:w="458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Derivatives designated as hedging instruments</w:t>
            </w:r>
          </w:p>
        </w:tc>
        <w:tc>
          <w:tcPr>
            <w:tcW w:w="120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96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96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94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580" w:type="dxa"/>
            <w:vAlign w:val="bottom"/>
          </w:tcPr>
          <w:p>
            <w:pPr>
              <w:ind w:left="160"/>
              <w:spacing w:after="0" w:line="113" w:lineRule="exact"/>
              <w:rPr>
                <w:sz w:val="20"/>
                <w:szCs w:val="20"/>
                <w:color w:val="auto"/>
              </w:rPr>
            </w:pPr>
            <w:r>
              <w:rPr>
                <w:rFonts w:ascii="Arial" w:cs="Arial" w:eastAsia="Arial" w:hAnsi="Arial"/>
                <w:sz w:val="10"/>
                <w:szCs w:val="10"/>
                <w:color w:val="auto"/>
              </w:rPr>
              <w:t>Commodity contracts</w:t>
            </w:r>
          </w:p>
        </w:tc>
        <w:tc>
          <w:tcPr>
            <w:tcW w:w="1360" w:type="dxa"/>
            <w:vAlign w:val="bottom"/>
            <w:gridSpan w:val="2"/>
          </w:tcPr>
          <w:p>
            <w:pPr>
              <w:jc w:val="center"/>
              <w:ind w:right="180"/>
              <w:spacing w:after="0" w:line="113" w:lineRule="exact"/>
              <w:rPr>
                <w:sz w:val="20"/>
                <w:szCs w:val="20"/>
                <w:color w:val="auto"/>
              </w:rPr>
            </w:pPr>
            <w:r>
              <w:rPr>
                <w:rFonts w:ascii="Arial" w:cs="Arial" w:eastAsia="Arial" w:hAnsi="Arial"/>
                <w:sz w:val="10"/>
                <w:szCs w:val="10"/>
                <w:color w:val="auto"/>
                <w:w w:val="89"/>
              </w:rPr>
              <w:t>Current</w:t>
            </w:r>
          </w:p>
        </w:tc>
        <w:tc>
          <w:tcPr>
            <w:tcW w:w="200" w:type="dxa"/>
            <w:vAlign w:val="bottom"/>
          </w:tcPr>
          <w:p>
            <w:pPr>
              <w:jc w:val="right"/>
              <w:ind w:right="135"/>
              <w:spacing w:after="0"/>
              <w:rPr>
                <w:sz w:val="20"/>
                <w:szCs w:val="20"/>
                <w:color w:val="auto"/>
              </w:rPr>
            </w:pPr>
            <w:r>
              <w:rPr>
                <w:rFonts w:ascii="Arial" w:cs="Arial" w:eastAsia="Arial" w:hAnsi="Arial"/>
                <w:sz w:val="5"/>
                <w:szCs w:val="5"/>
                <w:color w:val="auto"/>
                <w:w w:val="70"/>
              </w:rPr>
              <w:t>$</w:t>
            </w: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72.5</w:t>
            </w:r>
          </w:p>
        </w:tc>
        <w:tc>
          <w:tcPr>
            <w:tcW w:w="280" w:type="dxa"/>
            <w:vAlign w:val="bottom"/>
          </w:tcPr>
          <w:p>
            <w:pPr>
              <w:spacing w:after="0"/>
              <w:rPr>
                <w:sz w:val="9"/>
                <w:szCs w:val="9"/>
                <w:color w:val="auto"/>
              </w:rPr>
            </w:pPr>
          </w:p>
        </w:tc>
        <w:tc>
          <w:tcPr>
            <w:tcW w:w="200" w:type="dxa"/>
            <w:vAlign w:val="bottom"/>
          </w:tcPr>
          <w:p>
            <w:pPr>
              <w:jc w:val="right"/>
              <w:ind w:right="90"/>
              <w:spacing w:after="0" w:line="113" w:lineRule="exact"/>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25.2</w:t>
            </w:r>
          </w:p>
        </w:tc>
        <w:tc>
          <w:tcPr>
            <w:tcW w:w="400" w:type="dxa"/>
            <w:vAlign w:val="bottom"/>
            <w:gridSpan w:val="2"/>
          </w:tcPr>
          <w:p>
            <w:pPr>
              <w:jc w:val="right"/>
              <w:ind w:right="110"/>
              <w:spacing w:after="0" w:line="113"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113" w:lineRule="exact"/>
              <w:rPr>
                <w:sz w:val="20"/>
                <w:szCs w:val="20"/>
                <w:color w:val="auto"/>
              </w:rPr>
            </w:pPr>
            <w:r>
              <w:rPr>
                <w:rFonts w:ascii="Arial" w:cs="Arial" w:eastAsia="Arial" w:hAnsi="Arial"/>
                <w:sz w:val="10"/>
                <w:szCs w:val="10"/>
                <w:color w:val="auto"/>
              </w:rPr>
              <w:t>112.5</w:t>
            </w:r>
          </w:p>
        </w:tc>
        <w:tc>
          <w:tcPr>
            <w:tcW w:w="480" w:type="dxa"/>
            <w:vAlign w:val="bottom"/>
            <w:gridSpan w:val="2"/>
          </w:tcPr>
          <w:p>
            <w:pPr>
              <w:jc w:val="right"/>
              <w:ind w:right="135"/>
              <w:spacing w:after="0" w:line="113" w:lineRule="exact"/>
              <w:rPr>
                <w:sz w:val="20"/>
                <w:szCs w:val="20"/>
                <w:color w:val="auto"/>
              </w:rPr>
            </w:pPr>
            <w:r>
              <w:rPr>
                <w:rFonts w:ascii="Arial" w:cs="Arial" w:eastAsia="Arial" w:hAnsi="Arial"/>
                <w:sz w:val="10"/>
                <w:szCs w:val="10"/>
                <w:color w:val="auto"/>
              </w:rPr>
              <w:t>$</w:t>
            </w:r>
          </w:p>
        </w:tc>
        <w:tc>
          <w:tcPr>
            <w:tcW w:w="940" w:type="dxa"/>
            <w:vAlign w:val="bottom"/>
          </w:tcPr>
          <w:p>
            <w:pPr>
              <w:jc w:val="right"/>
              <w:spacing w:after="0" w:line="113" w:lineRule="exact"/>
              <w:rPr>
                <w:sz w:val="20"/>
                <w:szCs w:val="20"/>
                <w:color w:val="auto"/>
              </w:rPr>
            </w:pPr>
            <w:r>
              <w:rPr>
                <w:rFonts w:ascii="Arial" w:cs="Arial" w:eastAsia="Arial" w:hAnsi="Arial"/>
                <w:sz w:val="10"/>
                <w:szCs w:val="10"/>
                <w:color w:val="auto"/>
              </w:rPr>
              <w:t>18.9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580" w:type="dxa"/>
            <w:vAlign w:val="bottom"/>
            <w:shd w:val="clear" w:color="auto" w:fill="CFF0FC"/>
          </w:tcPr>
          <w:p>
            <w:pPr>
              <w:spacing w:after="0"/>
              <w:rPr>
                <w:sz w:val="9"/>
                <w:szCs w:val="9"/>
                <w:color w:val="auto"/>
              </w:rPr>
            </w:pPr>
          </w:p>
        </w:tc>
        <w:tc>
          <w:tcPr>
            <w:tcW w:w="1360" w:type="dxa"/>
            <w:vAlign w:val="bottom"/>
            <w:gridSpan w:val="2"/>
            <w:shd w:val="clear" w:color="auto" w:fill="CFF0FC"/>
          </w:tcPr>
          <w:p>
            <w:pPr>
              <w:jc w:val="center"/>
              <w:ind w:right="180"/>
              <w:spacing w:after="0" w:line="113" w:lineRule="exact"/>
              <w:rPr>
                <w:sz w:val="20"/>
                <w:szCs w:val="20"/>
                <w:color w:val="auto"/>
              </w:rPr>
            </w:pPr>
            <w:r>
              <w:rPr>
                <w:rFonts w:ascii="Arial" w:cs="Arial" w:eastAsia="Arial" w:hAnsi="Arial"/>
                <w:sz w:val="10"/>
                <w:szCs w:val="10"/>
                <w:color w:val="auto"/>
                <w:w w:val="92"/>
              </w:rPr>
              <w:t>Long-term</w:t>
            </w:r>
          </w:p>
        </w:tc>
        <w:tc>
          <w:tcPr>
            <w:tcW w:w="200" w:type="dxa"/>
            <w:vAlign w:val="bottom"/>
            <w:tcBorders>
              <w:bottom w:val="single" w:sz="8" w:color="auto"/>
            </w:tcBorders>
            <w:shd w:val="clear" w:color="auto" w:fill="CFF0FC"/>
          </w:tcPr>
          <w:p>
            <w:pPr>
              <w:spacing w:after="0"/>
              <w:rPr>
                <w:sz w:val="9"/>
                <w:szCs w:val="9"/>
                <w:color w:val="auto"/>
              </w:rPr>
            </w:pPr>
          </w:p>
        </w:tc>
        <w:tc>
          <w:tcPr>
            <w:tcW w:w="9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20.4</w:t>
            </w:r>
          </w:p>
        </w:tc>
        <w:tc>
          <w:tcPr>
            <w:tcW w:w="28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9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3.1</w:t>
            </w:r>
          </w:p>
        </w:tc>
        <w:tc>
          <w:tcPr>
            <w:tcW w:w="18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31.6</w:t>
            </w:r>
          </w:p>
        </w:tc>
        <w:tc>
          <w:tcPr>
            <w:tcW w:w="28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1.5</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580" w:type="dxa"/>
            <w:vAlign w:val="bottom"/>
            <w:tcBorders>
              <w:bottom w:val="single" w:sz="8" w:color="CFF0FC"/>
            </w:tcBorders>
          </w:tcPr>
          <w:p>
            <w:pPr>
              <w:spacing w:after="0" w:line="103" w:lineRule="exact"/>
              <w:rPr>
                <w:sz w:val="20"/>
                <w:szCs w:val="20"/>
                <w:color w:val="auto"/>
              </w:rPr>
            </w:pPr>
            <w:r>
              <w:rPr>
                <w:rFonts w:ascii="Arial" w:cs="Arial" w:eastAsia="Arial" w:hAnsi="Arial"/>
                <w:sz w:val="10"/>
                <w:szCs w:val="10"/>
                <w:b w:val="1"/>
                <w:bCs w:val="1"/>
                <w:color w:val="auto"/>
              </w:rPr>
              <w:t>Total derivatives designated as hedging instruments</w:t>
            </w:r>
          </w:p>
        </w:tc>
        <w:tc>
          <w:tcPr>
            <w:tcW w:w="1200" w:type="dxa"/>
            <w:vAlign w:val="bottom"/>
            <w:tcBorders>
              <w:bottom w:val="single" w:sz="8" w:color="CFF0FC"/>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92.9</w:t>
            </w:r>
          </w:p>
        </w:tc>
        <w:tc>
          <w:tcPr>
            <w:tcW w:w="2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jc w:val="right"/>
              <w:ind w:right="90"/>
              <w:spacing w:after="0" w:line="103" w:lineRule="exact"/>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28.3</w:t>
            </w:r>
          </w:p>
        </w:tc>
        <w:tc>
          <w:tcPr>
            <w:tcW w:w="18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jc w:val="right"/>
              <w:ind w:right="110"/>
              <w:spacing w:after="0" w:line="103" w:lineRule="exact"/>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144.1</w:t>
            </w:r>
          </w:p>
        </w:tc>
        <w:tc>
          <w:tcPr>
            <w:tcW w:w="2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20.4</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580" w:type="dxa"/>
            <w:vAlign w:val="bottom"/>
            <w:shd w:val="clear" w:color="auto" w:fill="CFF0FC"/>
          </w:tcPr>
          <w:p>
            <w:pPr>
              <w:spacing w:after="0" w:line="113" w:lineRule="exact"/>
              <w:rPr>
                <w:sz w:val="20"/>
                <w:szCs w:val="20"/>
                <w:color w:val="auto"/>
              </w:rPr>
            </w:pPr>
            <w:r>
              <w:rPr>
                <w:rFonts w:ascii="Arial" w:cs="Arial" w:eastAsia="Arial" w:hAnsi="Arial"/>
                <w:sz w:val="10"/>
                <w:szCs w:val="10"/>
                <w:b w:val="1"/>
                <w:bCs w:val="1"/>
                <w:color w:val="auto"/>
              </w:rPr>
              <w:t>Derivatives not designated as hedging instruments</w:t>
            </w:r>
          </w:p>
        </w:tc>
        <w:tc>
          <w:tcPr>
            <w:tcW w:w="1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580" w:type="dxa"/>
            <w:vAlign w:val="bottom"/>
          </w:tcPr>
          <w:p>
            <w:pPr>
              <w:ind w:left="160"/>
              <w:spacing w:after="0" w:line="113" w:lineRule="exact"/>
              <w:rPr>
                <w:sz w:val="20"/>
                <w:szCs w:val="20"/>
                <w:color w:val="auto"/>
              </w:rPr>
            </w:pPr>
            <w:r>
              <w:rPr>
                <w:rFonts w:ascii="Arial" w:cs="Arial" w:eastAsia="Arial" w:hAnsi="Arial"/>
                <w:sz w:val="10"/>
                <w:szCs w:val="10"/>
                <w:color w:val="auto"/>
              </w:rPr>
              <w:t>Commodity contracts</w:t>
            </w:r>
          </w:p>
        </w:tc>
        <w:tc>
          <w:tcPr>
            <w:tcW w:w="1360" w:type="dxa"/>
            <w:vAlign w:val="bottom"/>
            <w:gridSpan w:val="2"/>
          </w:tcPr>
          <w:p>
            <w:pPr>
              <w:jc w:val="center"/>
              <w:ind w:right="180"/>
              <w:spacing w:after="0" w:line="113" w:lineRule="exact"/>
              <w:rPr>
                <w:sz w:val="20"/>
                <w:szCs w:val="20"/>
                <w:color w:val="auto"/>
              </w:rPr>
            </w:pPr>
            <w:r>
              <w:rPr>
                <w:rFonts w:ascii="Arial" w:cs="Arial" w:eastAsia="Arial" w:hAnsi="Arial"/>
                <w:sz w:val="10"/>
                <w:szCs w:val="10"/>
                <w:color w:val="auto"/>
                <w:w w:val="89"/>
              </w:rPr>
              <w:t>Current</w:t>
            </w:r>
          </w:p>
        </w:tc>
        <w:tc>
          <w:tcPr>
            <w:tcW w:w="200" w:type="dxa"/>
            <w:vAlign w:val="bottom"/>
          </w:tcPr>
          <w:p>
            <w:pPr>
              <w:jc w:val="right"/>
              <w:ind w:right="135"/>
              <w:spacing w:after="0"/>
              <w:rPr>
                <w:sz w:val="20"/>
                <w:szCs w:val="20"/>
                <w:color w:val="auto"/>
              </w:rPr>
            </w:pPr>
            <w:r>
              <w:rPr>
                <w:rFonts w:ascii="Arial" w:cs="Arial" w:eastAsia="Arial" w:hAnsi="Arial"/>
                <w:sz w:val="5"/>
                <w:szCs w:val="5"/>
                <w:color w:val="auto"/>
                <w:w w:val="70"/>
              </w:rPr>
              <w:t>$</w:t>
            </w: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3.4</w:t>
            </w:r>
          </w:p>
        </w:tc>
        <w:tc>
          <w:tcPr>
            <w:tcW w:w="280" w:type="dxa"/>
            <w:vAlign w:val="bottom"/>
          </w:tcPr>
          <w:p>
            <w:pPr>
              <w:spacing w:after="0"/>
              <w:rPr>
                <w:sz w:val="9"/>
                <w:szCs w:val="9"/>
                <w:color w:val="auto"/>
              </w:rPr>
            </w:pPr>
          </w:p>
        </w:tc>
        <w:tc>
          <w:tcPr>
            <w:tcW w:w="200" w:type="dxa"/>
            <w:vAlign w:val="bottom"/>
          </w:tcPr>
          <w:p>
            <w:pPr>
              <w:jc w:val="right"/>
              <w:ind w:right="90"/>
              <w:spacing w:after="0" w:line="113" w:lineRule="exact"/>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18.1</w:t>
            </w:r>
          </w:p>
        </w:tc>
        <w:tc>
          <w:tcPr>
            <w:tcW w:w="400" w:type="dxa"/>
            <w:vAlign w:val="bottom"/>
            <w:gridSpan w:val="2"/>
          </w:tcPr>
          <w:p>
            <w:pPr>
              <w:jc w:val="right"/>
              <w:ind w:right="110"/>
              <w:spacing w:after="0" w:line="113" w:lineRule="exact"/>
              <w:rPr>
                <w:sz w:val="20"/>
                <w:szCs w:val="20"/>
                <w:color w:val="auto"/>
              </w:rPr>
            </w:pPr>
            <w:r>
              <w:rPr>
                <w:rFonts w:ascii="Arial" w:cs="Arial" w:eastAsia="Arial" w:hAnsi="Arial"/>
                <w:sz w:val="10"/>
                <w:szCs w:val="10"/>
                <w:color w:val="auto"/>
              </w:rPr>
              <w:t>$</w:t>
            </w:r>
          </w:p>
        </w:tc>
        <w:tc>
          <w:tcPr>
            <w:tcW w:w="1000" w:type="dxa"/>
            <w:vAlign w:val="bottom"/>
          </w:tcPr>
          <w:p>
            <w:pPr>
              <w:jc w:val="right"/>
              <w:spacing w:after="0" w:line="113" w:lineRule="exact"/>
              <w:rPr>
                <w:sz w:val="20"/>
                <w:szCs w:val="20"/>
                <w:color w:val="auto"/>
              </w:rPr>
            </w:pPr>
            <w:r>
              <w:rPr>
                <w:rFonts w:ascii="Arial" w:cs="Arial" w:eastAsia="Arial" w:hAnsi="Arial"/>
                <w:sz w:val="10"/>
                <w:szCs w:val="10"/>
                <w:color w:val="auto"/>
              </w:rPr>
              <w:t>2.8</w:t>
            </w:r>
          </w:p>
        </w:tc>
        <w:tc>
          <w:tcPr>
            <w:tcW w:w="480" w:type="dxa"/>
            <w:vAlign w:val="bottom"/>
            <w:gridSpan w:val="2"/>
          </w:tcPr>
          <w:p>
            <w:pPr>
              <w:jc w:val="right"/>
              <w:ind w:right="135"/>
              <w:spacing w:after="0" w:line="113" w:lineRule="exact"/>
              <w:rPr>
                <w:sz w:val="20"/>
                <w:szCs w:val="20"/>
                <w:color w:val="auto"/>
              </w:rPr>
            </w:pPr>
            <w:r>
              <w:rPr>
                <w:rFonts w:ascii="Arial" w:cs="Arial" w:eastAsia="Arial" w:hAnsi="Arial"/>
                <w:sz w:val="10"/>
                <w:szCs w:val="10"/>
                <w:color w:val="auto"/>
              </w:rPr>
              <w:t>$</w:t>
            </w:r>
          </w:p>
        </w:tc>
        <w:tc>
          <w:tcPr>
            <w:tcW w:w="940" w:type="dxa"/>
            <w:vAlign w:val="bottom"/>
          </w:tcPr>
          <w:p>
            <w:pPr>
              <w:jc w:val="right"/>
              <w:spacing w:after="0" w:line="113" w:lineRule="exact"/>
              <w:rPr>
                <w:sz w:val="20"/>
                <w:szCs w:val="20"/>
                <w:color w:val="auto"/>
              </w:rPr>
            </w:pPr>
            <w:r>
              <w:rPr>
                <w:rFonts w:ascii="Arial" w:cs="Arial" w:eastAsia="Arial" w:hAnsi="Arial"/>
                <w:sz w:val="10"/>
                <w:szCs w:val="10"/>
                <w:color w:val="auto"/>
              </w:rPr>
              <w:t>14.7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580" w:type="dxa"/>
            <w:vAlign w:val="bottom"/>
            <w:shd w:val="clear" w:color="auto" w:fill="CFF0FC"/>
          </w:tcPr>
          <w:p>
            <w:pPr>
              <w:spacing w:after="0"/>
              <w:rPr>
                <w:sz w:val="9"/>
                <w:szCs w:val="9"/>
                <w:color w:val="auto"/>
              </w:rPr>
            </w:pPr>
          </w:p>
        </w:tc>
        <w:tc>
          <w:tcPr>
            <w:tcW w:w="1360" w:type="dxa"/>
            <w:vAlign w:val="bottom"/>
            <w:gridSpan w:val="2"/>
            <w:shd w:val="clear" w:color="auto" w:fill="CFF0FC"/>
          </w:tcPr>
          <w:p>
            <w:pPr>
              <w:jc w:val="center"/>
              <w:ind w:right="180"/>
              <w:spacing w:after="0" w:line="113" w:lineRule="exact"/>
              <w:rPr>
                <w:sz w:val="20"/>
                <w:szCs w:val="20"/>
                <w:color w:val="auto"/>
              </w:rPr>
            </w:pPr>
            <w:r>
              <w:rPr>
                <w:rFonts w:ascii="Arial" w:cs="Arial" w:eastAsia="Arial" w:hAnsi="Arial"/>
                <w:sz w:val="10"/>
                <w:szCs w:val="10"/>
                <w:color w:val="auto"/>
                <w:w w:val="92"/>
              </w:rPr>
              <w:t>Long-term</w:t>
            </w:r>
          </w:p>
        </w:tc>
        <w:tc>
          <w:tcPr>
            <w:tcW w:w="200" w:type="dxa"/>
            <w:vAlign w:val="bottom"/>
            <w:tcBorders>
              <w:bottom w:val="single" w:sz="8" w:color="auto"/>
            </w:tcBorders>
            <w:shd w:val="clear" w:color="auto" w:fill="CFF0FC"/>
          </w:tcPr>
          <w:p>
            <w:pPr>
              <w:spacing w:after="0"/>
              <w:rPr>
                <w:sz w:val="9"/>
                <w:szCs w:val="9"/>
                <w:color w:val="auto"/>
              </w:rPr>
            </w:pPr>
          </w:p>
        </w:tc>
        <w:tc>
          <w:tcPr>
            <w:tcW w:w="9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2.7</w:t>
            </w:r>
          </w:p>
        </w:tc>
        <w:tc>
          <w:tcPr>
            <w:tcW w:w="28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9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6.3</w:t>
            </w:r>
          </w:p>
        </w:tc>
        <w:tc>
          <w:tcPr>
            <w:tcW w:w="18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2.5</w:t>
            </w:r>
          </w:p>
        </w:tc>
        <w:tc>
          <w:tcPr>
            <w:tcW w:w="28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580" w:type="dxa"/>
            <w:vAlign w:val="bottom"/>
            <w:tcBorders>
              <w:bottom w:val="single" w:sz="8" w:color="CFF0FC"/>
            </w:tcBorders>
          </w:tcPr>
          <w:p>
            <w:pPr>
              <w:spacing w:after="0" w:line="103" w:lineRule="exact"/>
              <w:rPr>
                <w:sz w:val="20"/>
                <w:szCs w:val="20"/>
                <w:color w:val="auto"/>
              </w:rPr>
            </w:pPr>
            <w:r>
              <w:rPr>
                <w:rFonts w:ascii="Arial" w:cs="Arial" w:eastAsia="Arial" w:hAnsi="Arial"/>
                <w:sz w:val="10"/>
                <w:szCs w:val="10"/>
                <w:b w:val="1"/>
                <w:bCs w:val="1"/>
                <w:color w:val="auto"/>
              </w:rPr>
              <w:t>Total derivatives not designated as hedging instruments</w:t>
            </w:r>
          </w:p>
        </w:tc>
        <w:tc>
          <w:tcPr>
            <w:tcW w:w="1200" w:type="dxa"/>
            <w:vAlign w:val="bottom"/>
            <w:tcBorders>
              <w:bottom w:val="single" w:sz="8" w:color="CFF0FC"/>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6.1</w:t>
            </w:r>
          </w:p>
        </w:tc>
        <w:tc>
          <w:tcPr>
            <w:tcW w:w="2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jc w:val="right"/>
              <w:ind w:right="90"/>
              <w:spacing w:after="0" w:line="103" w:lineRule="exact"/>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24.4</w:t>
            </w:r>
          </w:p>
        </w:tc>
        <w:tc>
          <w:tcPr>
            <w:tcW w:w="18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jc w:val="right"/>
              <w:ind w:right="110"/>
              <w:spacing w:after="0" w:line="103" w:lineRule="exact"/>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5.3</w:t>
            </w:r>
          </w:p>
        </w:tc>
        <w:tc>
          <w:tcPr>
            <w:tcW w:w="2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16.3</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580" w:type="dxa"/>
            <w:vAlign w:val="bottom"/>
            <w:shd w:val="clear" w:color="auto" w:fill="CFF0FC"/>
          </w:tcPr>
          <w:p>
            <w:pPr>
              <w:spacing w:after="0" w:line="113" w:lineRule="exact"/>
              <w:rPr>
                <w:sz w:val="20"/>
                <w:szCs w:val="20"/>
                <w:color w:val="auto"/>
              </w:rPr>
            </w:pPr>
            <w:r>
              <w:rPr>
                <w:rFonts w:ascii="Arial" w:cs="Arial" w:eastAsia="Arial" w:hAnsi="Arial"/>
                <w:sz w:val="10"/>
                <w:szCs w:val="10"/>
                <w:b w:val="1"/>
                <w:bCs w:val="1"/>
                <w:color w:val="auto"/>
              </w:rPr>
              <w:t>Total current position</w:t>
            </w:r>
          </w:p>
        </w:tc>
        <w:tc>
          <w:tcPr>
            <w:tcW w:w="1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75.9</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0"/>
              <w:spacing w:after="0" w:line="113" w:lineRule="exact"/>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43.3</w:t>
            </w: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10"/>
              <w:spacing w:after="0" w:line="113" w:lineRule="exact"/>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115.3</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33.6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580" w:type="dxa"/>
            <w:vAlign w:val="bottom"/>
            <w:tcBorders>
              <w:bottom w:val="single" w:sz="8" w:color="CFF0FC"/>
            </w:tcBorders>
          </w:tcPr>
          <w:p>
            <w:pPr>
              <w:spacing w:after="0" w:line="113" w:lineRule="exact"/>
              <w:rPr>
                <w:sz w:val="20"/>
                <w:szCs w:val="20"/>
                <w:color w:val="auto"/>
              </w:rPr>
            </w:pPr>
            <w:r>
              <w:rPr>
                <w:rFonts w:ascii="Arial" w:cs="Arial" w:eastAsia="Arial" w:hAnsi="Arial"/>
                <w:sz w:val="10"/>
                <w:szCs w:val="10"/>
                <w:b w:val="1"/>
                <w:bCs w:val="1"/>
                <w:color w:val="auto"/>
              </w:rPr>
              <w:t>Total long-term position</w:t>
            </w:r>
          </w:p>
        </w:tc>
        <w:tc>
          <w:tcPr>
            <w:tcW w:w="1200" w:type="dxa"/>
            <w:vAlign w:val="bottom"/>
            <w:tcBorders>
              <w:bottom w:val="single" w:sz="8" w:color="CFF0FC"/>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23.1</w:t>
            </w:r>
          </w:p>
        </w:tc>
        <w:tc>
          <w:tcPr>
            <w:tcW w:w="2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9.4</w:t>
            </w:r>
          </w:p>
        </w:tc>
        <w:tc>
          <w:tcPr>
            <w:tcW w:w="18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34.1</w:t>
            </w:r>
          </w:p>
        </w:tc>
        <w:tc>
          <w:tcPr>
            <w:tcW w:w="2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3.1</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580" w:type="dxa"/>
            <w:vAlign w:val="bottom"/>
            <w:tcBorders>
              <w:bottom w:val="single" w:sz="8" w:color="CFF0FC"/>
            </w:tcBorders>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Total derivatives</w:t>
            </w:r>
          </w:p>
        </w:tc>
        <w:tc>
          <w:tcPr>
            <w:tcW w:w="120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99.0</w:t>
            </w:r>
          </w:p>
        </w:tc>
        <w:tc>
          <w:tcPr>
            <w:tcW w:w="28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jc w:val="right"/>
              <w:ind w:right="90"/>
              <w:spacing w:after="0" w:line="103" w:lineRule="exact"/>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52.7</w:t>
            </w:r>
          </w:p>
        </w:tc>
        <w:tc>
          <w:tcPr>
            <w:tcW w:w="18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jc w:val="right"/>
              <w:ind w:right="110"/>
              <w:spacing w:after="0" w:line="103" w:lineRule="exact"/>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149.4</w:t>
            </w:r>
          </w:p>
        </w:tc>
        <w:tc>
          <w:tcPr>
            <w:tcW w:w="28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36.7</w:t>
            </w:r>
          </w:p>
        </w:tc>
        <w:tc>
          <w:tcPr>
            <w:tcW w:w="1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19" w:name="page20"/>
    <w:bookmarkEnd w:id="19"/>
    <w:p>
      <w:pPr>
        <w:spacing w:after="0"/>
        <w:rPr>
          <w:sz w:val="20"/>
          <w:szCs w:val="20"/>
          <w:color w:val="auto"/>
        </w:rPr>
      </w:pPr>
      <w:r>
        <w:rPr>
          <w:rFonts w:ascii="Arial" w:cs="Arial" w:eastAsia="Arial" w:hAnsi="Arial"/>
          <w:sz w:val="13"/>
          <w:szCs w:val="13"/>
          <w:color w:val="auto"/>
        </w:rPr>
        <w:t>The pro forma impact of reporting derivatives on our Consolidated Balance Sheets on a net basis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5140" w:type="dxa"/>
            <w:vAlign w:val="bottom"/>
            <w:vMerge w:val="restart"/>
          </w:tcPr>
          <w:p>
            <w:pPr>
              <w:ind w:left="2220"/>
              <w:spacing w:after="0"/>
              <w:rPr>
                <w:sz w:val="20"/>
                <w:szCs w:val="20"/>
                <w:color w:val="auto"/>
              </w:rPr>
            </w:pPr>
            <w:r>
              <w:rPr>
                <w:rFonts w:ascii="Arial" w:cs="Arial" w:eastAsia="Arial" w:hAnsi="Arial"/>
                <w:sz w:val="10"/>
                <w:szCs w:val="10"/>
                <w:b w:val="1"/>
                <w:bCs w:val="1"/>
                <w:color w:val="auto"/>
              </w:rPr>
              <w:t>March 31, 2019</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88"/>
              </w:rPr>
              <w:t>Gross Presentation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0"/>
                <w:szCs w:val="10"/>
                <w:b w:val="1"/>
                <w:bCs w:val="1"/>
                <w:color w:val="auto"/>
              </w:rPr>
              <w:t>Pro Forma Net Presentation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vMerge w:val="continue"/>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ind w:left="160"/>
              <w:spacing w:after="0" w:line="103" w:lineRule="exact"/>
              <w:rPr>
                <w:sz w:val="20"/>
                <w:szCs w:val="20"/>
                <w:color w:val="auto"/>
              </w:rPr>
            </w:pPr>
            <w:r>
              <w:rPr>
                <w:rFonts w:ascii="Arial" w:cs="Arial" w:eastAsia="Arial" w:hAnsi="Arial"/>
                <w:sz w:val="10"/>
                <w:szCs w:val="10"/>
                <w:b w:val="1"/>
                <w:bCs w:val="1"/>
                <w:color w:val="auto"/>
              </w:rPr>
              <w:t>Asset</w:t>
            </w: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jc w:val="right"/>
              <w:ind w:right="480"/>
              <w:spacing w:after="0" w:line="103" w:lineRule="exact"/>
              <w:rPr>
                <w:sz w:val="20"/>
                <w:szCs w:val="20"/>
                <w:color w:val="auto"/>
              </w:rPr>
            </w:pPr>
            <w:r>
              <w:rPr>
                <w:rFonts w:ascii="Arial" w:cs="Arial" w:eastAsia="Arial" w:hAnsi="Arial"/>
                <w:sz w:val="10"/>
                <w:szCs w:val="10"/>
                <w:b w:val="1"/>
                <w:bCs w:val="1"/>
                <w:color w:val="auto"/>
              </w:rPr>
              <w:t>Liability</w:t>
            </w: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230"/>
              <w:spacing w:after="0" w:line="103" w:lineRule="exact"/>
              <w:rPr>
                <w:sz w:val="20"/>
                <w:szCs w:val="20"/>
                <w:color w:val="auto"/>
              </w:rPr>
            </w:pPr>
            <w:r>
              <w:rPr>
                <w:rFonts w:ascii="Arial" w:cs="Arial" w:eastAsia="Arial" w:hAnsi="Arial"/>
                <w:sz w:val="10"/>
                <w:szCs w:val="10"/>
                <w:b w:val="1"/>
                <w:bCs w:val="1"/>
                <w:color w:val="auto"/>
              </w:rPr>
              <w:t>Collateral</w:t>
            </w:r>
          </w:p>
        </w:tc>
        <w:tc>
          <w:tcPr>
            <w:tcW w:w="3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ind w:left="180"/>
              <w:spacing w:after="0" w:line="103" w:lineRule="exact"/>
              <w:rPr>
                <w:sz w:val="20"/>
                <w:szCs w:val="20"/>
                <w:color w:val="auto"/>
              </w:rPr>
            </w:pPr>
            <w:r>
              <w:rPr>
                <w:rFonts w:ascii="Arial" w:cs="Arial" w:eastAsia="Arial" w:hAnsi="Arial"/>
                <w:sz w:val="10"/>
                <w:szCs w:val="10"/>
                <w:b w:val="1"/>
                <w:bCs w:val="1"/>
                <w:color w:val="auto"/>
              </w:rPr>
              <w:t>Asset</w:t>
            </w: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270"/>
              <w:spacing w:after="0" w:line="103" w:lineRule="exact"/>
              <w:rPr>
                <w:sz w:val="20"/>
                <w:szCs w:val="20"/>
                <w:color w:val="auto"/>
              </w:rPr>
            </w:pPr>
            <w:r>
              <w:rPr>
                <w:rFonts w:ascii="Arial" w:cs="Arial" w:eastAsia="Arial" w:hAnsi="Arial"/>
                <w:sz w:val="10"/>
                <w:szCs w:val="10"/>
                <w:b w:val="1"/>
                <w:bCs w:val="1"/>
                <w:color w:val="auto"/>
              </w:rPr>
              <w:t>Liability</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Borders>
              <w:top w:val="single" w:sz="8" w:color="auto"/>
            </w:tcBorders>
          </w:tcPr>
          <w:p>
            <w:pPr>
              <w:spacing w:after="0" w:line="103" w:lineRule="exact"/>
              <w:rPr>
                <w:sz w:val="20"/>
                <w:szCs w:val="20"/>
                <w:color w:val="auto"/>
              </w:rPr>
            </w:pPr>
            <w:r>
              <w:rPr>
                <w:rFonts w:ascii="Arial" w:cs="Arial" w:eastAsia="Arial" w:hAnsi="Arial"/>
                <w:sz w:val="10"/>
                <w:szCs w:val="10"/>
                <w:b w:val="1"/>
                <w:bCs w:val="1"/>
                <w:color w:val="auto"/>
              </w:rPr>
              <w:t>Current Position</w:t>
            </w:r>
          </w:p>
        </w:tc>
        <w:tc>
          <w:tcPr>
            <w:tcW w:w="2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shd w:val="clear" w:color="auto" w:fill="CFF0FC"/>
          </w:tcPr>
          <w:p>
            <w:pPr>
              <w:ind w:left="580"/>
              <w:spacing w:after="0" w:line="113" w:lineRule="exact"/>
              <w:rPr>
                <w:sz w:val="20"/>
                <w:szCs w:val="20"/>
                <w:color w:val="auto"/>
              </w:rPr>
            </w:pPr>
            <w:r>
              <w:rPr>
                <w:rFonts w:ascii="Arial" w:cs="Arial" w:eastAsia="Arial" w:hAnsi="Arial"/>
                <w:sz w:val="10"/>
                <w:szCs w:val="10"/>
                <w:color w:val="auto"/>
              </w:rPr>
              <w:t>Counterparties with offsetting positions or collateral</w:t>
            </w:r>
          </w:p>
        </w:tc>
        <w:tc>
          <w:tcPr>
            <w:tcW w:w="220" w:type="dxa"/>
            <w:vAlign w:val="bottom"/>
            <w:shd w:val="clear" w:color="auto" w:fill="CFF0FC"/>
          </w:tcPr>
          <w:p>
            <w:pPr>
              <w:jc w:val="right"/>
              <w:ind w:right="110"/>
              <w:spacing w:after="0" w:line="113" w:lineRule="exact"/>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69.0</w:t>
            </w: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(42.0)</w:t>
            </w:r>
          </w:p>
        </w:tc>
        <w:tc>
          <w:tcPr>
            <w:tcW w:w="300" w:type="dxa"/>
            <w:vAlign w:val="bottom"/>
            <w:gridSpan w:val="2"/>
            <w:shd w:val="clear" w:color="auto" w:fill="CFF0FC"/>
          </w:tcPr>
          <w:p>
            <w:pPr>
              <w:jc w:val="right"/>
              <w:ind w:right="95"/>
              <w:spacing w:after="0" w:line="113"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CFF0FC"/>
          </w:tcPr>
          <w:p>
            <w:pPr>
              <w:jc w:val="right"/>
              <w:ind w:right="280"/>
              <w:spacing w:after="0" w:line="113" w:lineRule="exact"/>
              <w:rPr>
                <w:sz w:val="20"/>
                <w:szCs w:val="20"/>
                <w:color w:val="auto"/>
              </w:rPr>
            </w:pPr>
            <w:r>
              <w:rPr>
                <w:rFonts w:ascii="Arial" w:cs="Arial" w:eastAsia="Arial" w:hAnsi="Arial"/>
                <w:sz w:val="10"/>
                <w:szCs w:val="10"/>
                <w:color w:val="auto"/>
              </w:rPr>
              <w:t>(7.3)</w:t>
            </w:r>
          </w:p>
        </w:tc>
        <w:tc>
          <w:tcPr>
            <w:tcW w:w="200" w:type="dxa"/>
            <w:vAlign w:val="bottom"/>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43.5</w:t>
            </w: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jc w:val="right"/>
              <w:ind w:right="135"/>
              <w:spacing w:after="0"/>
              <w:rPr>
                <w:sz w:val="20"/>
                <w:szCs w:val="20"/>
                <w:color w:val="auto"/>
              </w:rPr>
            </w:pPr>
            <w:r>
              <w:rPr>
                <w:rFonts w:ascii="Arial" w:cs="Arial" w:eastAsia="Arial" w:hAnsi="Arial"/>
                <w:sz w:val="1"/>
                <w:szCs w:val="1"/>
                <w:color w:val="auto"/>
                <w:w w:val="4294967288"/>
              </w:rPr>
              <w:t>$</w:t>
            </w:r>
          </w:p>
        </w:tc>
        <w:tc>
          <w:tcPr>
            <w:tcW w:w="94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(23.8)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tcPr>
          <w:p>
            <w:pPr>
              <w:ind w:left="580"/>
              <w:spacing w:after="0" w:line="113" w:lineRule="exact"/>
              <w:rPr>
                <w:sz w:val="20"/>
                <w:szCs w:val="20"/>
                <w:color w:val="auto"/>
              </w:rPr>
            </w:pPr>
            <w:r>
              <w:rPr>
                <w:rFonts w:ascii="Arial" w:cs="Arial" w:eastAsia="Arial" w:hAnsi="Arial"/>
                <w:sz w:val="10"/>
                <w:szCs w:val="10"/>
                <w:color w:val="auto"/>
              </w:rPr>
              <w:t>Counterparties without offsetting positions - assets</w:t>
            </w:r>
          </w:p>
        </w:tc>
        <w:tc>
          <w:tcPr>
            <w:tcW w:w="2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6.9</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6.9</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shd w:val="clear" w:color="auto" w:fill="CFF0FC"/>
          </w:tcPr>
          <w:p>
            <w:pPr>
              <w:ind w:left="580"/>
              <w:spacing w:after="0" w:line="113" w:lineRule="exact"/>
              <w:rPr>
                <w:sz w:val="20"/>
                <w:szCs w:val="20"/>
                <w:color w:val="auto"/>
              </w:rPr>
            </w:pPr>
            <w:r>
              <w:rPr>
                <w:rFonts w:ascii="Arial" w:cs="Arial" w:eastAsia="Arial" w:hAnsi="Arial"/>
                <w:sz w:val="10"/>
                <w:szCs w:val="10"/>
                <w:color w:val="auto"/>
              </w:rPr>
              <w:t>Counterparties without offsetting positions - liabilities</w:t>
            </w: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(1.3)</w:t>
            </w: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jc w:val="right"/>
              <w:spacing w:after="0" w:line="103" w:lineRule="exact"/>
              <w:rPr>
                <w:sz w:val="20"/>
                <w:szCs w:val="20"/>
                <w:color w:val="auto"/>
              </w:rPr>
            </w:pPr>
            <w:r>
              <w:rPr>
                <w:rFonts w:ascii="Arial" w:cs="Arial" w:eastAsia="Arial" w:hAnsi="Arial"/>
                <w:sz w:val="10"/>
                <w:szCs w:val="10"/>
                <w:color w:val="auto"/>
              </w:rPr>
              <w:t>75.9</w:t>
            </w: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jc w:val="right"/>
              <w:ind w:right="140"/>
              <w:spacing w:after="0" w:line="103" w:lineRule="exact"/>
              <w:rPr>
                <w:sz w:val="20"/>
                <w:szCs w:val="20"/>
                <w:color w:val="auto"/>
              </w:rPr>
            </w:pPr>
            <w:r>
              <w:rPr>
                <w:rFonts w:ascii="Arial" w:cs="Arial" w:eastAsia="Arial" w:hAnsi="Arial"/>
                <w:sz w:val="10"/>
                <w:szCs w:val="10"/>
                <w:color w:val="auto"/>
              </w:rPr>
              <w:t>(43.3)</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tcPr>
          <w:p>
            <w:pPr>
              <w:jc w:val="right"/>
              <w:ind w:right="280"/>
              <w:spacing w:after="0" w:line="103" w:lineRule="exact"/>
              <w:rPr>
                <w:sz w:val="20"/>
                <w:szCs w:val="20"/>
                <w:color w:val="auto"/>
              </w:rPr>
            </w:pPr>
            <w:r>
              <w:rPr>
                <w:rFonts w:ascii="Arial" w:cs="Arial" w:eastAsia="Arial" w:hAnsi="Arial"/>
                <w:sz w:val="10"/>
                <w:szCs w:val="10"/>
                <w:color w:val="auto"/>
              </w:rPr>
              <w:t>(7.3)</w:t>
            </w:r>
          </w:p>
        </w:tc>
        <w:tc>
          <w:tcPr>
            <w:tcW w:w="200" w:type="dxa"/>
            <w:vAlign w:val="bottom"/>
          </w:tcPr>
          <w:p>
            <w:pPr>
              <w:spacing w:after="0"/>
              <w:rPr>
                <w:sz w:val="8"/>
                <w:szCs w:val="8"/>
                <w:color w:val="auto"/>
              </w:rPr>
            </w:pPr>
          </w:p>
        </w:tc>
        <w:tc>
          <w:tcPr>
            <w:tcW w:w="780" w:type="dxa"/>
            <w:vAlign w:val="bottom"/>
          </w:tcPr>
          <w:p>
            <w:pPr>
              <w:jc w:val="right"/>
              <w:spacing w:after="0" w:line="103" w:lineRule="exact"/>
              <w:rPr>
                <w:sz w:val="20"/>
                <w:szCs w:val="20"/>
                <w:color w:val="auto"/>
              </w:rPr>
            </w:pPr>
            <w:r>
              <w:rPr>
                <w:rFonts w:ascii="Arial" w:cs="Arial" w:eastAsia="Arial" w:hAnsi="Arial"/>
                <w:sz w:val="10"/>
                <w:szCs w:val="10"/>
                <w:color w:val="auto"/>
              </w:rPr>
              <w:t>50.4</w:t>
            </w: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right"/>
              <w:ind w:right="80"/>
              <w:spacing w:after="0" w:line="103" w:lineRule="exact"/>
              <w:rPr>
                <w:sz w:val="20"/>
                <w:szCs w:val="20"/>
                <w:color w:val="auto"/>
              </w:rPr>
            </w:pPr>
            <w:r>
              <w:rPr>
                <w:rFonts w:ascii="Arial" w:cs="Arial" w:eastAsia="Arial" w:hAnsi="Arial"/>
                <w:sz w:val="10"/>
                <w:szCs w:val="10"/>
                <w:color w:val="auto"/>
              </w:rPr>
              <w:t>(25.1)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shd w:val="clear" w:color="auto" w:fill="CFF0FC"/>
          </w:tcPr>
          <w:p>
            <w:pPr>
              <w:spacing w:after="0" w:line="113" w:lineRule="exact"/>
              <w:rPr>
                <w:sz w:val="20"/>
                <w:szCs w:val="20"/>
                <w:color w:val="auto"/>
              </w:rPr>
            </w:pPr>
            <w:r>
              <w:rPr>
                <w:rFonts w:ascii="Arial" w:cs="Arial" w:eastAsia="Arial" w:hAnsi="Arial"/>
                <w:sz w:val="10"/>
                <w:szCs w:val="10"/>
                <w:b w:val="1"/>
                <w:bCs w:val="1"/>
                <w:color w:val="auto"/>
              </w:rPr>
              <w:t>Long Term Position</w:t>
            </w: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tcPr>
          <w:p>
            <w:pPr>
              <w:ind w:left="580"/>
              <w:spacing w:after="0" w:line="113" w:lineRule="exact"/>
              <w:rPr>
                <w:sz w:val="20"/>
                <w:szCs w:val="20"/>
                <w:color w:val="auto"/>
              </w:rPr>
            </w:pPr>
            <w:r>
              <w:rPr>
                <w:rFonts w:ascii="Arial" w:cs="Arial" w:eastAsia="Arial" w:hAnsi="Arial"/>
                <w:sz w:val="10"/>
                <w:szCs w:val="10"/>
                <w:color w:val="auto"/>
              </w:rPr>
              <w:t>Counterparties with offsetting positions or collateral</w:t>
            </w:r>
          </w:p>
        </w:tc>
        <w:tc>
          <w:tcPr>
            <w:tcW w:w="2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19.0</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(9.1)</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13.5</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shd w:val="clear" w:color="auto" w:fill="CFF0FC"/>
          </w:tcPr>
          <w:p>
            <w:pPr>
              <w:ind w:left="580"/>
              <w:spacing w:after="0" w:line="113" w:lineRule="exact"/>
              <w:rPr>
                <w:sz w:val="20"/>
                <w:szCs w:val="20"/>
                <w:color w:val="auto"/>
              </w:rPr>
            </w:pPr>
            <w:r>
              <w:rPr>
                <w:rFonts w:ascii="Arial" w:cs="Arial" w:eastAsia="Arial" w:hAnsi="Arial"/>
                <w:sz w:val="10"/>
                <w:szCs w:val="10"/>
                <w:color w:val="auto"/>
              </w:rPr>
              <w:t>Counterparties without offsetting positions - assets</w:t>
            </w: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4.1</w:t>
            </w: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4.1</w:t>
            </w: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tcPr>
          <w:p>
            <w:pPr>
              <w:ind w:left="580"/>
              <w:spacing w:after="0" w:line="113" w:lineRule="exact"/>
              <w:rPr>
                <w:sz w:val="20"/>
                <w:szCs w:val="20"/>
                <w:color w:val="auto"/>
              </w:rPr>
            </w:pPr>
            <w:r>
              <w:rPr>
                <w:rFonts w:ascii="Arial" w:cs="Arial" w:eastAsia="Arial" w:hAnsi="Arial"/>
                <w:sz w:val="10"/>
                <w:szCs w:val="10"/>
                <w:color w:val="auto"/>
              </w:rPr>
              <w:t>Counterparties without offsetting positions - liabilities</w:t>
            </w:r>
          </w:p>
        </w:tc>
        <w:tc>
          <w:tcPr>
            <w:tcW w:w="2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(0.3)</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23.1</w:t>
            </w:r>
          </w:p>
        </w:tc>
        <w:tc>
          <w:tcPr>
            <w:tcW w:w="3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gridSpan w:val="2"/>
            <w:shd w:val="clear" w:color="auto" w:fill="CFF0FC"/>
          </w:tcPr>
          <w:p>
            <w:pPr>
              <w:jc w:val="right"/>
              <w:ind w:right="140"/>
              <w:spacing w:after="0" w:line="103" w:lineRule="exact"/>
              <w:rPr>
                <w:sz w:val="20"/>
                <w:szCs w:val="20"/>
                <w:color w:val="auto"/>
              </w:rPr>
            </w:pPr>
            <w:r>
              <w:rPr>
                <w:rFonts w:ascii="Arial" w:cs="Arial" w:eastAsia="Arial" w:hAnsi="Arial"/>
                <w:sz w:val="10"/>
                <w:szCs w:val="10"/>
                <w:color w:val="auto"/>
              </w:rPr>
              <w:t>(9.4)</w:t>
            </w:r>
          </w:p>
        </w:tc>
        <w:tc>
          <w:tcPr>
            <w:tcW w:w="1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2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8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17.6</w:t>
            </w:r>
          </w:p>
        </w:tc>
        <w:tc>
          <w:tcPr>
            <w:tcW w:w="340" w:type="dxa"/>
            <w:vAlign w:val="bottom"/>
            <w:tcBorders>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940" w:type="dxa"/>
            <w:vAlign w:val="bottom"/>
            <w:gridSpan w:val="2"/>
            <w:shd w:val="clear" w:color="auto" w:fill="CFF0FC"/>
          </w:tcPr>
          <w:p>
            <w:pPr>
              <w:jc w:val="right"/>
              <w:ind w:right="80"/>
              <w:spacing w:after="0" w:line="103" w:lineRule="exact"/>
              <w:rPr>
                <w:sz w:val="20"/>
                <w:szCs w:val="20"/>
                <w:color w:val="auto"/>
              </w:rPr>
            </w:pPr>
            <w:r>
              <w:rPr>
                <w:rFonts w:ascii="Arial" w:cs="Arial" w:eastAsia="Arial" w:hAnsi="Arial"/>
                <w:sz w:val="10"/>
                <w:szCs w:val="10"/>
                <w:color w:val="auto"/>
              </w:rPr>
              <w:t>(3.9)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tcPr>
          <w:p>
            <w:pPr>
              <w:spacing w:after="0" w:line="113" w:lineRule="exact"/>
              <w:rPr>
                <w:sz w:val="20"/>
                <w:szCs w:val="20"/>
                <w:color w:val="auto"/>
              </w:rPr>
            </w:pPr>
            <w:r>
              <w:rPr>
                <w:rFonts w:ascii="Arial" w:cs="Arial" w:eastAsia="Arial" w:hAnsi="Arial"/>
                <w:sz w:val="10"/>
                <w:szCs w:val="10"/>
                <w:b w:val="1"/>
                <w:bCs w:val="1"/>
                <w:color w:val="auto"/>
              </w:rPr>
              <w:t>Total Derivatives</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shd w:val="clear" w:color="auto" w:fill="CFF0FC"/>
          </w:tcPr>
          <w:p>
            <w:pPr>
              <w:ind w:left="580"/>
              <w:spacing w:after="0" w:line="113" w:lineRule="exact"/>
              <w:rPr>
                <w:sz w:val="20"/>
                <w:szCs w:val="20"/>
                <w:color w:val="auto"/>
              </w:rPr>
            </w:pPr>
            <w:r>
              <w:rPr>
                <w:rFonts w:ascii="Arial" w:cs="Arial" w:eastAsia="Arial" w:hAnsi="Arial"/>
                <w:sz w:val="10"/>
                <w:szCs w:val="10"/>
                <w:color w:val="auto"/>
              </w:rPr>
              <w:t>Counterparties with offsetting positions or collateral</w:t>
            </w: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88.0</w:t>
            </w: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(51.1)</w:t>
            </w: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80"/>
              <w:spacing w:after="0" w:line="113" w:lineRule="exact"/>
              <w:rPr>
                <w:sz w:val="20"/>
                <w:szCs w:val="20"/>
                <w:color w:val="auto"/>
              </w:rPr>
            </w:pPr>
            <w:r>
              <w:rPr>
                <w:rFonts w:ascii="Arial" w:cs="Arial" w:eastAsia="Arial" w:hAnsi="Arial"/>
                <w:sz w:val="10"/>
                <w:szCs w:val="10"/>
                <w:color w:val="auto"/>
              </w:rPr>
              <w:t>(7.3)</w:t>
            </w: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57.0</w:t>
            </w: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(27.4)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tcPr>
          <w:p>
            <w:pPr>
              <w:ind w:left="580"/>
              <w:spacing w:after="0" w:line="113" w:lineRule="exact"/>
              <w:rPr>
                <w:sz w:val="20"/>
                <w:szCs w:val="20"/>
                <w:color w:val="auto"/>
              </w:rPr>
            </w:pPr>
            <w:r>
              <w:rPr>
                <w:rFonts w:ascii="Arial" w:cs="Arial" w:eastAsia="Arial" w:hAnsi="Arial"/>
                <w:sz w:val="10"/>
                <w:szCs w:val="10"/>
                <w:color w:val="auto"/>
              </w:rPr>
              <w:t>Counterparties without offsetting positions - assets</w:t>
            </w:r>
          </w:p>
        </w:tc>
        <w:tc>
          <w:tcPr>
            <w:tcW w:w="2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11.0</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11.0</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shd w:val="clear" w:color="auto" w:fill="CFF0FC"/>
          </w:tcPr>
          <w:p>
            <w:pPr>
              <w:ind w:left="580"/>
              <w:spacing w:after="0" w:line="113" w:lineRule="exact"/>
              <w:rPr>
                <w:sz w:val="20"/>
                <w:szCs w:val="20"/>
                <w:color w:val="auto"/>
              </w:rPr>
            </w:pPr>
            <w:r>
              <w:rPr>
                <w:rFonts w:ascii="Arial" w:cs="Arial" w:eastAsia="Arial" w:hAnsi="Arial"/>
                <w:sz w:val="10"/>
                <w:szCs w:val="10"/>
                <w:color w:val="auto"/>
              </w:rPr>
              <w:t>Counterparties without offsetting positions - liabilities</w:t>
            </w: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(1.6)</w:t>
            </w: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20" w:type="dxa"/>
            <w:vAlign w:val="bottom"/>
          </w:tcPr>
          <w:p>
            <w:pPr>
              <w:jc w:val="right"/>
              <w:ind w:right="110"/>
              <w:spacing w:after="0" w:line="103" w:lineRule="exact"/>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03" w:lineRule="exact"/>
              <w:rPr>
                <w:sz w:val="20"/>
                <w:szCs w:val="20"/>
                <w:color w:val="auto"/>
              </w:rPr>
            </w:pPr>
            <w:r>
              <w:rPr>
                <w:rFonts w:ascii="Arial" w:cs="Arial" w:eastAsia="Arial" w:hAnsi="Arial"/>
                <w:sz w:val="10"/>
                <w:szCs w:val="10"/>
                <w:color w:val="auto"/>
              </w:rPr>
              <w:t>99.0</w:t>
            </w:r>
          </w:p>
        </w:tc>
        <w:tc>
          <w:tcPr>
            <w:tcW w:w="32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140"/>
              <w:spacing w:after="0" w:line="103" w:lineRule="exact"/>
              <w:rPr>
                <w:sz w:val="20"/>
                <w:szCs w:val="20"/>
                <w:color w:val="auto"/>
              </w:rPr>
            </w:pPr>
            <w:r>
              <w:rPr>
                <w:rFonts w:ascii="Arial" w:cs="Arial" w:eastAsia="Arial" w:hAnsi="Arial"/>
                <w:sz w:val="10"/>
                <w:szCs w:val="10"/>
                <w:color w:val="auto"/>
              </w:rPr>
              <w:t>(52.7)</w:t>
            </w:r>
          </w:p>
        </w:tc>
        <w:tc>
          <w:tcPr>
            <w:tcW w:w="140" w:type="dxa"/>
            <w:vAlign w:val="bottom"/>
            <w:vMerge w:val="continue"/>
          </w:tcPr>
          <w:p>
            <w:pPr>
              <w:spacing w:after="0"/>
              <w:rPr>
                <w:sz w:val="8"/>
                <w:szCs w:val="8"/>
                <w:color w:val="auto"/>
              </w:rPr>
            </w:pPr>
          </w:p>
        </w:tc>
        <w:tc>
          <w:tcPr>
            <w:tcW w:w="160" w:type="dxa"/>
            <w:vAlign w:val="bottom"/>
          </w:tcPr>
          <w:p>
            <w:pPr>
              <w:jc w:val="right"/>
              <w:ind w:right="95"/>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line="103" w:lineRule="exact"/>
              <w:rPr>
                <w:sz w:val="20"/>
                <w:szCs w:val="20"/>
                <w:color w:val="auto"/>
              </w:rPr>
            </w:pPr>
            <w:r>
              <w:rPr>
                <w:rFonts w:ascii="Arial" w:cs="Arial" w:eastAsia="Arial" w:hAnsi="Arial"/>
                <w:sz w:val="10"/>
                <w:szCs w:val="10"/>
                <w:color w:val="auto"/>
              </w:rPr>
              <w:t>(7.3)</w:t>
            </w:r>
          </w:p>
        </w:tc>
        <w:tc>
          <w:tcPr>
            <w:tcW w:w="320" w:type="dxa"/>
            <w:vAlign w:val="bottom"/>
            <w:vMerge w:val="continue"/>
          </w:tcPr>
          <w:p>
            <w:pPr>
              <w:spacing w:after="0"/>
              <w:rPr>
                <w:sz w:val="8"/>
                <w:szCs w:val="8"/>
                <w:color w:val="auto"/>
              </w:rPr>
            </w:pPr>
          </w:p>
        </w:tc>
        <w:tc>
          <w:tcPr>
            <w:tcW w:w="200" w:type="dxa"/>
            <w:vAlign w:val="bottom"/>
          </w:tcPr>
          <w:p>
            <w:pPr>
              <w:jc w:val="right"/>
              <w:ind w:right="135"/>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spacing w:after="0" w:line="103" w:lineRule="exact"/>
              <w:rPr>
                <w:sz w:val="20"/>
                <w:szCs w:val="20"/>
                <w:color w:val="auto"/>
              </w:rPr>
            </w:pPr>
            <w:r>
              <w:rPr>
                <w:rFonts w:ascii="Arial" w:cs="Arial" w:eastAsia="Arial" w:hAnsi="Arial"/>
                <w:sz w:val="10"/>
                <w:szCs w:val="10"/>
                <w:color w:val="auto"/>
              </w:rPr>
              <w:t>68.0</w:t>
            </w:r>
          </w:p>
        </w:tc>
        <w:tc>
          <w:tcPr>
            <w:tcW w:w="340" w:type="dxa"/>
            <w:vAlign w:val="bottom"/>
          </w:tcPr>
          <w:p>
            <w:pPr>
              <w:spacing w:after="0"/>
              <w:rPr>
                <w:sz w:val="8"/>
                <w:szCs w:val="8"/>
                <w:color w:val="auto"/>
              </w:rPr>
            </w:pPr>
          </w:p>
        </w:tc>
        <w:tc>
          <w:tcPr>
            <w:tcW w:w="160" w:type="dxa"/>
            <w:vAlign w:val="bottom"/>
          </w:tcPr>
          <w:p>
            <w:pPr>
              <w:jc w:val="right"/>
              <w:ind w:right="135"/>
              <w:spacing w:after="0"/>
              <w:rPr>
                <w:sz w:val="20"/>
                <w:szCs w:val="20"/>
                <w:color w:val="auto"/>
              </w:rPr>
            </w:pPr>
            <w:r>
              <w:rPr>
                <w:rFonts w:ascii="Arial" w:cs="Arial" w:eastAsia="Arial" w:hAnsi="Arial"/>
                <w:sz w:val="1"/>
                <w:szCs w:val="1"/>
                <w:color w:val="auto"/>
                <w:w w:val="4294967288"/>
              </w:rPr>
              <w:t>$</w:t>
            </w:r>
          </w:p>
        </w:tc>
        <w:tc>
          <w:tcPr>
            <w:tcW w:w="940" w:type="dxa"/>
            <w:vAlign w:val="bottom"/>
            <w:gridSpan w:val="2"/>
          </w:tcPr>
          <w:p>
            <w:pPr>
              <w:jc w:val="right"/>
              <w:ind w:right="80"/>
              <w:spacing w:after="0" w:line="103" w:lineRule="exact"/>
              <w:rPr>
                <w:sz w:val="20"/>
                <w:szCs w:val="20"/>
                <w:color w:val="auto"/>
              </w:rPr>
            </w:pPr>
            <w:r>
              <w:rPr>
                <w:rFonts w:ascii="Arial" w:cs="Arial" w:eastAsia="Arial" w:hAnsi="Arial"/>
                <w:sz w:val="10"/>
                <w:szCs w:val="10"/>
                <w:color w:val="auto"/>
              </w:rPr>
              <w:t>(29.0)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5140" w:type="dxa"/>
            <w:vAlign w:val="bottom"/>
            <w:vMerge w:val="restart"/>
          </w:tcPr>
          <w:p>
            <w:pPr>
              <w:ind w:left="2160"/>
              <w:spacing w:after="0"/>
              <w:rPr>
                <w:sz w:val="20"/>
                <w:szCs w:val="20"/>
                <w:color w:val="auto"/>
              </w:rPr>
            </w:pPr>
            <w:r>
              <w:rPr>
                <w:rFonts w:ascii="Arial" w:cs="Arial" w:eastAsia="Arial" w:hAnsi="Arial"/>
                <w:sz w:val="10"/>
                <w:szCs w:val="10"/>
                <w:b w:val="1"/>
                <w:bCs w:val="1"/>
                <w:color w:val="auto"/>
              </w:rPr>
              <w:t>December 31, 2018</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88"/>
              </w:rPr>
              <w:t>Gross Presentation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0"/>
                <w:szCs w:val="10"/>
                <w:b w:val="1"/>
                <w:bCs w:val="1"/>
                <w:color w:val="auto"/>
              </w:rPr>
              <w:t>Pro Forma Net Presentation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vMerge w:val="continue"/>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ind w:left="160"/>
              <w:spacing w:after="0" w:line="103" w:lineRule="exact"/>
              <w:rPr>
                <w:sz w:val="20"/>
                <w:szCs w:val="20"/>
                <w:color w:val="auto"/>
              </w:rPr>
            </w:pPr>
            <w:r>
              <w:rPr>
                <w:rFonts w:ascii="Arial" w:cs="Arial" w:eastAsia="Arial" w:hAnsi="Arial"/>
                <w:sz w:val="10"/>
                <w:szCs w:val="10"/>
                <w:b w:val="1"/>
                <w:bCs w:val="1"/>
                <w:color w:val="auto"/>
              </w:rPr>
              <w:t>Asset</w:t>
            </w: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jc w:val="right"/>
              <w:ind w:right="480"/>
              <w:spacing w:after="0" w:line="103" w:lineRule="exact"/>
              <w:rPr>
                <w:sz w:val="20"/>
                <w:szCs w:val="20"/>
                <w:color w:val="auto"/>
              </w:rPr>
            </w:pPr>
            <w:r>
              <w:rPr>
                <w:rFonts w:ascii="Arial" w:cs="Arial" w:eastAsia="Arial" w:hAnsi="Arial"/>
                <w:sz w:val="10"/>
                <w:szCs w:val="10"/>
                <w:b w:val="1"/>
                <w:bCs w:val="1"/>
                <w:color w:val="auto"/>
              </w:rPr>
              <w:t>Liability</w:t>
            </w: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230"/>
              <w:spacing w:after="0" w:line="103" w:lineRule="exact"/>
              <w:rPr>
                <w:sz w:val="20"/>
                <w:szCs w:val="20"/>
                <w:color w:val="auto"/>
              </w:rPr>
            </w:pPr>
            <w:r>
              <w:rPr>
                <w:rFonts w:ascii="Arial" w:cs="Arial" w:eastAsia="Arial" w:hAnsi="Arial"/>
                <w:sz w:val="10"/>
                <w:szCs w:val="10"/>
                <w:b w:val="1"/>
                <w:bCs w:val="1"/>
                <w:color w:val="auto"/>
              </w:rPr>
              <w:t>Collateral</w:t>
            </w:r>
          </w:p>
        </w:tc>
        <w:tc>
          <w:tcPr>
            <w:tcW w:w="3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ind w:left="180"/>
              <w:spacing w:after="0" w:line="103" w:lineRule="exact"/>
              <w:rPr>
                <w:sz w:val="20"/>
                <w:szCs w:val="20"/>
                <w:color w:val="auto"/>
              </w:rPr>
            </w:pPr>
            <w:r>
              <w:rPr>
                <w:rFonts w:ascii="Arial" w:cs="Arial" w:eastAsia="Arial" w:hAnsi="Arial"/>
                <w:sz w:val="10"/>
                <w:szCs w:val="10"/>
                <w:b w:val="1"/>
                <w:bCs w:val="1"/>
                <w:color w:val="auto"/>
              </w:rPr>
              <w:t>Asset</w:t>
            </w: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ind w:right="270"/>
              <w:spacing w:after="0" w:line="103" w:lineRule="exact"/>
              <w:rPr>
                <w:sz w:val="20"/>
                <w:szCs w:val="20"/>
                <w:color w:val="auto"/>
              </w:rPr>
            </w:pPr>
            <w:r>
              <w:rPr>
                <w:rFonts w:ascii="Arial" w:cs="Arial" w:eastAsia="Arial" w:hAnsi="Arial"/>
                <w:sz w:val="10"/>
                <w:szCs w:val="10"/>
                <w:b w:val="1"/>
                <w:bCs w:val="1"/>
                <w:color w:val="auto"/>
              </w:rPr>
              <w:t>Liability</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Borders>
              <w:top w:val="single" w:sz="8" w:color="auto"/>
            </w:tcBorders>
          </w:tcPr>
          <w:p>
            <w:pPr>
              <w:spacing w:after="0" w:line="103" w:lineRule="exact"/>
              <w:rPr>
                <w:sz w:val="20"/>
                <w:szCs w:val="20"/>
                <w:color w:val="auto"/>
              </w:rPr>
            </w:pPr>
            <w:r>
              <w:rPr>
                <w:rFonts w:ascii="Arial" w:cs="Arial" w:eastAsia="Arial" w:hAnsi="Arial"/>
                <w:sz w:val="10"/>
                <w:szCs w:val="10"/>
                <w:b w:val="1"/>
                <w:bCs w:val="1"/>
                <w:color w:val="auto"/>
              </w:rPr>
              <w:t>Current Position</w:t>
            </w:r>
          </w:p>
        </w:tc>
        <w:tc>
          <w:tcPr>
            <w:tcW w:w="2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shd w:val="clear" w:color="auto" w:fill="CFF0FC"/>
          </w:tcPr>
          <w:p>
            <w:pPr>
              <w:ind w:left="580"/>
              <w:spacing w:after="0" w:line="113" w:lineRule="exact"/>
              <w:rPr>
                <w:sz w:val="20"/>
                <w:szCs w:val="20"/>
                <w:color w:val="auto"/>
              </w:rPr>
            </w:pPr>
            <w:r>
              <w:rPr>
                <w:rFonts w:ascii="Arial" w:cs="Arial" w:eastAsia="Arial" w:hAnsi="Arial"/>
                <w:sz w:val="10"/>
                <w:szCs w:val="10"/>
                <w:color w:val="auto"/>
              </w:rPr>
              <w:t>Counterparties with offsetting positions or collateral</w:t>
            </w:r>
          </w:p>
        </w:tc>
        <w:tc>
          <w:tcPr>
            <w:tcW w:w="220" w:type="dxa"/>
            <w:vAlign w:val="bottom"/>
            <w:shd w:val="clear" w:color="auto" w:fill="CFF0FC"/>
          </w:tcPr>
          <w:p>
            <w:pPr>
              <w:jc w:val="right"/>
              <w:ind w:right="110"/>
              <w:spacing w:after="0" w:line="113" w:lineRule="exact"/>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100.0</w:t>
            </w: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(33.6)</w:t>
            </w:r>
          </w:p>
        </w:tc>
        <w:tc>
          <w:tcPr>
            <w:tcW w:w="300" w:type="dxa"/>
            <w:vAlign w:val="bottom"/>
            <w:gridSpan w:val="2"/>
            <w:shd w:val="clear" w:color="auto" w:fill="CFF0FC"/>
          </w:tcPr>
          <w:p>
            <w:pPr>
              <w:jc w:val="right"/>
              <w:ind w:right="95"/>
              <w:spacing w:after="0" w:line="113"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CFF0FC"/>
          </w:tcPr>
          <w:p>
            <w:pPr>
              <w:jc w:val="right"/>
              <w:ind w:right="280"/>
              <w:spacing w:after="0" w:line="113" w:lineRule="exact"/>
              <w:rPr>
                <w:sz w:val="20"/>
                <w:szCs w:val="20"/>
                <w:color w:val="auto"/>
              </w:rPr>
            </w:pPr>
            <w:r>
              <w:rPr>
                <w:rFonts w:ascii="Arial" w:cs="Arial" w:eastAsia="Arial" w:hAnsi="Arial"/>
                <w:sz w:val="10"/>
                <w:szCs w:val="10"/>
                <w:color w:val="auto"/>
              </w:rPr>
              <w:t>(14.2)</w:t>
            </w:r>
          </w:p>
        </w:tc>
        <w:tc>
          <w:tcPr>
            <w:tcW w:w="200" w:type="dxa"/>
            <w:vAlign w:val="bottom"/>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70.0</w:t>
            </w: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jc w:val="right"/>
              <w:ind w:right="135"/>
              <w:spacing w:after="0"/>
              <w:rPr>
                <w:sz w:val="20"/>
                <w:szCs w:val="20"/>
                <w:color w:val="auto"/>
              </w:rPr>
            </w:pPr>
            <w:r>
              <w:rPr>
                <w:rFonts w:ascii="Arial" w:cs="Arial" w:eastAsia="Arial" w:hAnsi="Arial"/>
                <w:sz w:val="1"/>
                <w:szCs w:val="1"/>
                <w:color w:val="auto"/>
                <w:w w:val="4294967288"/>
              </w:rPr>
              <w:t>$</w:t>
            </w:r>
          </w:p>
        </w:tc>
        <w:tc>
          <w:tcPr>
            <w:tcW w:w="94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(17.8)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tcPr>
          <w:p>
            <w:pPr>
              <w:ind w:left="580"/>
              <w:spacing w:after="0" w:line="113" w:lineRule="exact"/>
              <w:rPr>
                <w:sz w:val="20"/>
                <w:szCs w:val="20"/>
                <w:color w:val="auto"/>
              </w:rPr>
            </w:pPr>
            <w:r>
              <w:rPr>
                <w:rFonts w:ascii="Arial" w:cs="Arial" w:eastAsia="Arial" w:hAnsi="Arial"/>
                <w:sz w:val="10"/>
                <w:szCs w:val="10"/>
                <w:color w:val="auto"/>
              </w:rPr>
              <w:t>Counterparties without offsetting positions - assets</w:t>
            </w:r>
          </w:p>
        </w:tc>
        <w:tc>
          <w:tcPr>
            <w:tcW w:w="2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15.3</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15.3</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shd w:val="clear" w:color="auto" w:fill="CFF0FC"/>
          </w:tcPr>
          <w:p>
            <w:pPr>
              <w:ind w:left="580"/>
              <w:spacing w:after="0" w:line="113" w:lineRule="exact"/>
              <w:rPr>
                <w:sz w:val="20"/>
                <w:szCs w:val="20"/>
                <w:color w:val="auto"/>
              </w:rPr>
            </w:pPr>
            <w:r>
              <w:rPr>
                <w:rFonts w:ascii="Arial" w:cs="Arial" w:eastAsia="Arial" w:hAnsi="Arial"/>
                <w:sz w:val="10"/>
                <w:szCs w:val="10"/>
                <w:color w:val="auto"/>
              </w:rPr>
              <w:t>Counterparties without offsetting positions - liabilities</w:t>
            </w:r>
          </w:p>
        </w:tc>
        <w:tc>
          <w:tcPr>
            <w:tcW w:w="220" w:type="dxa"/>
            <w:vAlign w:val="bottom"/>
            <w:tcBorders>
              <w:bottom w:val="single" w:sz="8" w:color="auto"/>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jc w:val="right"/>
              <w:spacing w:after="0" w:line="103" w:lineRule="exact"/>
              <w:rPr>
                <w:sz w:val="20"/>
                <w:szCs w:val="20"/>
                <w:color w:val="auto"/>
              </w:rPr>
            </w:pPr>
            <w:r>
              <w:rPr>
                <w:rFonts w:ascii="Arial" w:cs="Arial" w:eastAsia="Arial" w:hAnsi="Arial"/>
                <w:sz w:val="10"/>
                <w:szCs w:val="10"/>
                <w:color w:val="auto"/>
              </w:rPr>
              <w:t>115.3</w:t>
            </w: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jc w:val="right"/>
              <w:ind w:right="140"/>
              <w:spacing w:after="0" w:line="103" w:lineRule="exact"/>
              <w:rPr>
                <w:sz w:val="20"/>
                <w:szCs w:val="20"/>
                <w:color w:val="auto"/>
              </w:rPr>
            </w:pPr>
            <w:r>
              <w:rPr>
                <w:rFonts w:ascii="Arial" w:cs="Arial" w:eastAsia="Arial" w:hAnsi="Arial"/>
                <w:sz w:val="10"/>
                <w:szCs w:val="10"/>
                <w:color w:val="auto"/>
              </w:rPr>
              <w:t>(33.6)</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tcPr>
          <w:p>
            <w:pPr>
              <w:jc w:val="right"/>
              <w:ind w:right="280"/>
              <w:spacing w:after="0" w:line="103" w:lineRule="exact"/>
              <w:rPr>
                <w:sz w:val="20"/>
                <w:szCs w:val="20"/>
                <w:color w:val="auto"/>
              </w:rPr>
            </w:pPr>
            <w:r>
              <w:rPr>
                <w:rFonts w:ascii="Arial" w:cs="Arial" w:eastAsia="Arial" w:hAnsi="Arial"/>
                <w:sz w:val="10"/>
                <w:szCs w:val="10"/>
                <w:color w:val="auto"/>
              </w:rPr>
              <w:t>(14.2)</w:t>
            </w:r>
          </w:p>
        </w:tc>
        <w:tc>
          <w:tcPr>
            <w:tcW w:w="200" w:type="dxa"/>
            <w:vAlign w:val="bottom"/>
          </w:tcPr>
          <w:p>
            <w:pPr>
              <w:spacing w:after="0"/>
              <w:rPr>
                <w:sz w:val="8"/>
                <w:szCs w:val="8"/>
                <w:color w:val="auto"/>
              </w:rPr>
            </w:pPr>
          </w:p>
        </w:tc>
        <w:tc>
          <w:tcPr>
            <w:tcW w:w="780" w:type="dxa"/>
            <w:vAlign w:val="bottom"/>
          </w:tcPr>
          <w:p>
            <w:pPr>
              <w:jc w:val="right"/>
              <w:spacing w:after="0" w:line="103" w:lineRule="exact"/>
              <w:rPr>
                <w:sz w:val="20"/>
                <w:szCs w:val="20"/>
                <w:color w:val="auto"/>
              </w:rPr>
            </w:pPr>
            <w:r>
              <w:rPr>
                <w:rFonts w:ascii="Arial" w:cs="Arial" w:eastAsia="Arial" w:hAnsi="Arial"/>
                <w:sz w:val="10"/>
                <w:szCs w:val="10"/>
                <w:color w:val="auto"/>
              </w:rPr>
              <w:t>85.3</w:t>
            </w: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right"/>
              <w:ind w:right="80"/>
              <w:spacing w:after="0" w:line="103" w:lineRule="exact"/>
              <w:rPr>
                <w:sz w:val="20"/>
                <w:szCs w:val="20"/>
                <w:color w:val="auto"/>
              </w:rPr>
            </w:pPr>
            <w:r>
              <w:rPr>
                <w:rFonts w:ascii="Arial" w:cs="Arial" w:eastAsia="Arial" w:hAnsi="Arial"/>
                <w:sz w:val="10"/>
                <w:szCs w:val="10"/>
                <w:color w:val="auto"/>
              </w:rPr>
              <w:t>(17.8)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shd w:val="clear" w:color="auto" w:fill="CFF0FC"/>
          </w:tcPr>
          <w:p>
            <w:pPr>
              <w:spacing w:after="0" w:line="113" w:lineRule="exact"/>
              <w:rPr>
                <w:sz w:val="20"/>
                <w:szCs w:val="20"/>
                <w:color w:val="auto"/>
              </w:rPr>
            </w:pPr>
            <w:r>
              <w:rPr>
                <w:rFonts w:ascii="Arial" w:cs="Arial" w:eastAsia="Arial" w:hAnsi="Arial"/>
                <w:sz w:val="10"/>
                <w:szCs w:val="10"/>
                <w:b w:val="1"/>
                <w:bCs w:val="1"/>
                <w:color w:val="auto"/>
              </w:rPr>
              <w:t>Long Term Position</w:t>
            </w: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tcPr>
          <w:p>
            <w:pPr>
              <w:ind w:left="580"/>
              <w:spacing w:after="0" w:line="113" w:lineRule="exact"/>
              <w:rPr>
                <w:sz w:val="20"/>
                <w:szCs w:val="20"/>
                <w:color w:val="auto"/>
              </w:rPr>
            </w:pPr>
            <w:r>
              <w:rPr>
                <w:rFonts w:ascii="Arial" w:cs="Arial" w:eastAsia="Arial" w:hAnsi="Arial"/>
                <w:sz w:val="10"/>
                <w:szCs w:val="10"/>
                <w:color w:val="auto"/>
              </w:rPr>
              <w:t>Counterparties with offsetting positions or collateral</w:t>
            </w:r>
          </w:p>
        </w:tc>
        <w:tc>
          <w:tcPr>
            <w:tcW w:w="2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8.9</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(3.1)</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5.9</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shd w:val="clear" w:color="auto" w:fill="CFF0FC"/>
          </w:tcPr>
          <w:p>
            <w:pPr>
              <w:ind w:left="580"/>
              <w:spacing w:after="0" w:line="113" w:lineRule="exact"/>
              <w:rPr>
                <w:sz w:val="20"/>
                <w:szCs w:val="20"/>
                <w:color w:val="auto"/>
              </w:rPr>
            </w:pPr>
            <w:r>
              <w:rPr>
                <w:rFonts w:ascii="Arial" w:cs="Arial" w:eastAsia="Arial" w:hAnsi="Arial"/>
                <w:sz w:val="10"/>
                <w:szCs w:val="10"/>
                <w:color w:val="auto"/>
              </w:rPr>
              <w:t>Counterparties without offsetting positions - assets</w:t>
            </w: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25.2</w:t>
            </w: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25.2</w:t>
            </w: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tcBorders>
              <w:bottom w:val="single" w:sz="8" w:color="CFF0FC"/>
            </w:tcBorders>
          </w:tcPr>
          <w:p>
            <w:pPr>
              <w:ind w:left="580"/>
              <w:spacing w:after="0" w:line="113" w:lineRule="exact"/>
              <w:rPr>
                <w:sz w:val="20"/>
                <w:szCs w:val="20"/>
                <w:color w:val="auto"/>
              </w:rPr>
            </w:pPr>
            <w:r>
              <w:rPr>
                <w:rFonts w:ascii="Arial" w:cs="Arial" w:eastAsia="Arial" w:hAnsi="Arial"/>
                <w:sz w:val="10"/>
                <w:szCs w:val="10"/>
                <w:color w:val="auto"/>
              </w:rPr>
              <w:t>Counterparties without offsetting positions - liabilities</w:t>
            </w: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8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34.1</w:t>
            </w:r>
          </w:p>
        </w:tc>
        <w:tc>
          <w:tcPr>
            <w:tcW w:w="3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gridSpan w:val="2"/>
            <w:shd w:val="clear" w:color="auto" w:fill="CFF0FC"/>
          </w:tcPr>
          <w:p>
            <w:pPr>
              <w:jc w:val="right"/>
              <w:ind w:right="140"/>
              <w:spacing w:after="0" w:line="103" w:lineRule="exact"/>
              <w:rPr>
                <w:sz w:val="20"/>
                <w:szCs w:val="20"/>
                <w:color w:val="auto"/>
              </w:rPr>
            </w:pPr>
            <w:r>
              <w:rPr>
                <w:rFonts w:ascii="Arial" w:cs="Arial" w:eastAsia="Arial" w:hAnsi="Arial"/>
                <w:sz w:val="10"/>
                <w:szCs w:val="10"/>
                <w:color w:val="auto"/>
              </w:rPr>
              <w:t>(3.1)</w:t>
            </w:r>
          </w:p>
        </w:tc>
        <w:tc>
          <w:tcPr>
            <w:tcW w:w="1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2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8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31.1</w:t>
            </w:r>
          </w:p>
        </w:tc>
        <w:tc>
          <w:tcPr>
            <w:tcW w:w="340" w:type="dxa"/>
            <w:vAlign w:val="bottom"/>
            <w:tcBorders>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940" w:type="dxa"/>
            <w:vAlign w:val="bottom"/>
            <w:gridSpan w:val="2"/>
            <w:shd w:val="clear" w:color="auto" w:fill="CFF0FC"/>
          </w:tcPr>
          <w:p>
            <w:pPr>
              <w:jc w:val="right"/>
              <w:ind w:right="80"/>
              <w:spacing w:after="0" w:line="103" w:lineRule="exact"/>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tcPr>
          <w:p>
            <w:pPr>
              <w:spacing w:after="0" w:line="113" w:lineRule="exact"/>
              <w:rPr>
                <w:sz w:val="20"/>
                <w:szCs w:val="20"/>
                <w:color w:val="auto"/>
              </w:rPr>
            </w:pPr>
            <w:r>
              <w:rPr>
                <w:rFonts w:ascii="Arial" w:cs="Arial" w:eastAsia="Arial" w:hAnsi="Arial"/>
                <w:sz w:val="10"/>
                <w:szCs w:val="10"/>
                <w:b w:val="1"/>
                <w:bCs w:val="1"/>
                <w:color w:val="auto"/>
              </w:rPr>
              <w:t>Total Derivatives</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shd w:val="clear" w:color="auto" w:fill="CFF0FC"/>
          </w:tcPr>
          <w:p>
            <w:pPr>
              <w:ind w:left="580"/>
              <w:spacing w:after="0" w:line="113" w:lineRule="exact"/>
              <w:rPr>
                <w:sz w:val="20"/>
                <w:szCs w:val="20"/>
                <w:color w:val="auto"/>
              </w:rPr>
            </w:pPr>
            <w:r>
              <w:rPr>
                <w:rFonts w:ascii="Arial" w:cs="Arial" w:eastAsia="Arial" w:hAnsi="Arial"/>
                <w:sz w:val="10"/>
                <w:szCs w:val="10"/>
                <w:color w:val="auto"/>
              </w:rPr>
              <w:t>Counterparties with offsetting positions or collateral</w:t>
            </w: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108.9</w:t>
            </w: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(36.7)</w:t>
            </w: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80"/>
              <w:spacing w:after="0" w:line="113" w:lineRule="exact"/>
              <w:rPr>
                <w:sz w:val="20"/>
                <w:szCs w:val="20"/>
                <w:color w:val="auto"/>
              </w:rPr>
            </w:pPr>
            <w:r>
              <w:rPr>
                <w:rFonts w:ascii="Arial" w:cs="Arial" w:eastAsia="Arial" w:hAnsi="Arial"/>
                <w:sz w:val="10"/>
                <w:szCs w:val="10"/>
                <w:color w:val="auto"/>
              </w:rPr>
              <w:t>(14.2)</w:t>
            </w: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75.9</w:t>
            </w: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(17.9)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tcPr>
          <w:p>
            <w:pPr>
              <w:ind w:left="580"/>
              <w:spacing w:after="0" w:line="113" w:lineRule="exact"/>
              <w:rPr>
                <w:sz w:val="20"/>
                <w:szCs w:val="20"/>
                <w:color w:val="auto"/>
              </w:rPr>
            </w:pPr>
            <w:r>
              <w:rPr>
                <w:rFonts w:ascii="Arial" w:cs="Arial" w:eastAsia="Arial" w:hAnsi="Arial"/>
                <w:sz w:val="10"/>
                <w:szCs w:val="10"/>
                <w:color w:val="auto"/>
              </w:rPr>
              <w:t>Counterparties without offsetting positions - assets</w:t>
            </w:r>
          </w:p>
        </w:tc>
        <w:tc>
          <w:tcPr>
            <w:tcW w:w="2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40.5</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40.5</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40" w:type="dxa"/>
            <w:vAlign w:val="bottom"/>
            <w:shd w:val="clear" w:color="auto" w:fill="CFF0FC"/>
          </w:tcPr>
          <w:p>
            <w:pPr>
              <w:ind w:left="580"/>
              <w:spacing w:after="0" w:line="113" w:lineRule="exact"/>
              <w:rPr>
                <w:sz w:val="20"/>
                <w:szCs w:val="20"/>
                <w:color w:val="auto"/>
              </w:rPr>
            </w:pPr>
            <w:r>
              <w:rPr>
                <w:rFonts w:ascii="Arial" w:cs="Arial" w:eastAsia="Arial" w:hAnsi="Arial"/>
                <w:sz w:val="10"/>
                <w:szCs w:val="10"/>
                <w:color w:val="auto"/>
              </w:rPr>
              <w:t>Counterparties without offsetting positions - liabilities</w:t>
            </w:r>
          </w:p>
        </w:tc>
        <w:tc>
          <w:tcPr>
            <w:tcW w:w="220" w:type="dxa"/>
            <w:vAlign w:val="bottom"/>
            <w:tcBorders>
              <w:bottom w:val="single" w:sz="8" w:color="auto"/>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20" w:type="dxa"/>
            <w:vAlign w:val="bottom"/>
          </w:tcPr>
          <w:p>
            <w:pPr>
              <w:jc w:val="right"/>
              <w:ind w:right="110"/>
              <w:spacing w:after="0" w:line="103" w:lineRule="exact"/>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03" w:lineRule="exact"/>
              <w:rPr>
                <w:sz w:val="20"/>
                <w:szCs w:val="20"/>
                <w:color w:val="auto"/>
              </w:rPr>
            </w:pPr>
            <w:r>
              <w:rPr>
                <w:rFonts w:ascii="Arial" w:cs="Arial" w:eastAsia="Arial" w:hAnsi="Arial"/>
                <w:sz w:val="10"/>
                <w:szCs w:val="10"/>
                <w:color w:val="auto"/>
              </w:rPr>
              <w:t>149.4</w:t>
            </w:r>
          </w:p>
        </w:tc>
        <w:tc>
          <w:tcPr>
            <w:tcW w:w="32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140"/>
              <w:spacing w:after="0" w:line="103" w:lineRule="exact"/>
              <w:rPr>
                <w:sz w:val="20"/>
                <w:szCs w:val="20"/>
                <w:color w:val="auto"/>
              </w:rPr>
            </w:pPr>
            <w:r>
              <w:rPr>
                <w:rFonts w:ascii="Arial" w:cs="Arial" w:eastAsia="Arial" w:hAnsi="Arial"/>
                <w:sz w:val="10"/>
                <w:szCs w:val="10"/>
                <w:color w:val="auto"/>
              </w:rPr>
              <w:t>(36.7)</w:t>
            </w:r>
          </w:p>
        </w:tc>
        <w:tc>
          <w:tcPr>
            <w:tcW w:w="140" w:type="dxa"/>
            <w:vAlign w:val="bottom"/>
          </w:tcPr>
          <w:p>
            <w:pPr>
              <w:spacing w:after="0"/>
              <w:rPr>
                <w:sz w:val="8"/>
                <w:szCs w:val="8"/>
                <w:color w:val="auto"/>
              </w:rPr>
            </w:pPr>
          </w:p>
        </w:tc>
        <w:tc>
          <w:tcPr>
            <w:tcW w:w="160" w:type="dxa"/>
            <w:vAlign w:val="bottom"/>
          </w:tcPr>
          <w:p>
            <w:pPr>
              <w:jc w:val="right"/>
              <w:ind w:right="95"/>
              <w:spacing w:after="0"/>
              <w:rPr>
                <w:sz w:val="20"/>
                <w:szCs w:val="20"/>
                <w:color w:val="auto"/>
              </w:rPr>
            </w:pPr>
            <w:r>
              <w:rPr>
                <w:rFonts w:ascii="Arial" w:cs="Arial" w:eastAsia="Arial" w:hAnsi="Arial"/>
                <w:sz w:val="5"/>
                <w:szCs w:val="5"/>
                <w:color w:val="auto"/>
                <w:w w:val="70"/>
              </w:rPr>
              <w:t>$</w:t>
            </w:r>
          </w:p>
        </w:tc>
        <w:tc>
          <w:tcPr>
            <w:tcW w:w="1140" w:type="dxa"/>
            <w:vAlign w:val="bottom"/>
            <w:gridSpan w:val="2"/>
          </w:tcPr>
          <w:p>
            <w:pPr>
              <w:jc w:val="right"/>
              <w:ind w:right="280"/>
              <w:spacing w:after="0" w:line="103" w:lineRule="exact"/>
              <w:rPr>
                <w:sz w:val="20"/>
                <w:szCs w:val="20"/>
                <w:color w:val="auto"/>
              </w:rPr>
            </w:pPr>
            <w:r>
              <w:rPr>
                <w:rFonts w:ascii="Arial" w:cs="Arial" w:eastAsia="Arial" w:hAnsi="Arial"/>
                <w:sz w:val="10"/>
                <w:szCs w:val="10"/>
                <w:color w:val="auto"/>
              </w:rPr>
              <w:t>(14.2)</w:t>
            </w:r>
          </w:p>
        </w:tc>
        <w:tc>
          <w:tcPr>
            <w:tcW w:w="200" w:type="dxa"/>
            <w:vAlign w:val="bottom"/>
          </w:tcPr>
          <w:p>
            <w:pPr>
              <w:jc w:val="right"/>
              <w:ind w:right="135"/>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spacing w:after="0" w:line="103" w:lineRule="exact"/>
              <w:rPr>
                <w:sz w:val="20"/>
                <w:szCs w:val="20"/>
                <w:color w:val="auto"/>
              </w:rPr>
            </w:pPr>
            <w:r>
              <w:rPr>
                <w:rFonts w:ascii="Arial" w:cs="Arial" w:eastAsia="Arial" w:hAnsi="Arial"/>
                <w:sz w:val="10"/>
                <w:szCs w:val="10"/>
                <w:color w:val="auto"/>
              </w:rPr>
              <w:t>116.4</w:t>
            </w:r>
          </w:p>
        </w:tc>
        <w:tc>
          <w:tcPr>
            <w:tcW w:w="340" w:type="dxa"/>
            <w:vAlign w:val="bottom"/>
          </w:tcPr>
          <w:p>
            <w:pPr>
              <w:spacing w:after="0"/>
              <w:rPr>
                <w:sz w:val="8"/>
                <w:szCs w:val="8"/>
                <w:color w:val="auto"/>
              </w:rPr>
            </w:pPr>
          </w:p>
        </w:tc>
        <w:tc>
          <w:tcPr>
            <w:tcW w:w="160" w:type="dxa"/>
            <w:vAlign w:val="bottom"/>
          </w:tcPr>
          <w:p>
            <w:pPr>
              <w:jc w:val="right"/>
              <w:ind w:right="135"/>
              <w:spacing w:after="0"/>
              <w:rPr>
                <w:sz w:val="20"/>
                <w:szCs w:val="20"/>
                <w:color w:val="auto"/>
              </w:rPr>
            </w:pPr>
            <w:r>
              <w:rPr>
                <w:rFonts w:ascii="Arial" w:cs="Arial" w:eastAsia="Arial" w:hAnsi="Arial"/>
                <w:sz w:val="1"/>
                <w:szCs w:val="1"/>
                <w:color w:val="auto"/>
                <w:w w:val="4294967288"/>
              </w:rPr>
              <w:t>$</w:t>
            </w:r>
          </w:p>
        </w:tc>
        <w:tc>
          <w:tcPr>
            <w:tcW w:w="940" w:type="dxa"/>
            <w:vAlign w:val="bottom"/>
            <w:gridSpan w:val="2"/>
          </w:tcPr>
          <w:p>
            <w:pPr>
              <w:jc w:val="right"/>
              <w:ind w:right="80"/>
              <w:spacing w:after="0" w:line="103" w:lineRule="exact"/>
              <w:rPr>
                <w:sz w:val="20"/>
                <w:szCs w:val="20"/>
                <w:color w:val="auto"/>
              </w:rPr>
            </w:pPr>
            <w:r>
              <w:rPr>
                <w:rFonts w:ascii="Arial" w:cs="Arial" w:eastAsia="Arial" w:hAnsi="Arial"/>
                <w:sz w:val="10"/>
                <w:szCs w:val="10"/>
                <w:color w:val="auto"/>
              </w:rPr>
              <w:t>(17.9)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Our payment obligations in connection with a majority of these hedging transactions are secured by a first priority lien in the collateral securing the TRP Revolver that ranks equal in right of payment with liens granted in favor of our senior secured lenders. Some of our hedges are futures contracts executed through a broker that clears the hedges through an exchange. We maintain a margin deposit with the broker in an amount sufficient enough to cover the fair value of our open futures positions. The margin deposit is considered collateral, which is located within other current assets on our Consolidated Balance Sheets and is not offset against the fair value of our derivative instruments.</w:t>
      </w:r>
    </w:p>
    <w:p>
      <w:pPr>
        <w:spacing w:after="0" w:line="140"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fair value of our derivative instruments, depending on the type of instrument, was determined by the use of present value methods or standard option valuation models with assumptions about commodity prices based on those observed in underlying markets. The estimated fair value of our derivative instruments was a net asset of $46.3 million as of March 31, 2019. The estimated fair value is net of an adjustment for credit risk based on the default probabilities as indicated by market quotes for the counterparties’ credit default swap rates. The credit risk adjustment was immaterial for all periods presented. Our futures contracts that are cleared through an exchange are margined daily and do not require any credit adjustment.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reflect amounts recorded in Other comprehensive income (“OCI”) and amounts reclassified from OCI to revenue for the periods indicated:</w:t>
      </w:r>
    </w:p>
    <w:tbl>
      <w:tblPr>
        <w:tblLayout w:type="fixed"/>
        <w:tblInd w:w="0"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160" w:type="dxa"/>
            <w:vAlign w:val="bottom"/>
            <w:gridSpan w:val="4"/>
          </w:tcPr>
          <w:p>
            <w:pPr>
              <w:jc w:val="center"/>
              <w:spacing w:after="0" w:line="108" w:lineRule="exact"/>
              <w:rPr>
                <w:sz w:val="20"/>
                <w:szCs w:val="20"/>
                <w:color w:val="auto"/>
              </w:rPr>
            </w:pPr>
            <w:r>
              <w:rPr>
                <w:rFonts w:ascii="Arial" w:cs="Arial" w:eastAsia="Arial" w:hAnsi="Arial"/>
                <w:sz w:val="10"/>
                <w:szCs w:val="10"/>
                <w:b w:val="1"/>
                <w:bCs w:val="1"/>
                <w:color w:val="auto"/>
                <w:w w:val="91"/>
              </w:rPr>
              <w:t>Gain (Loss) Recognized in OCI on</w:t>
            </w: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6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Derivatives in Cash Flow</w:t>
            </w:r>
          </w:p>
        </w:tc>
        <w:tc>
          <w:tcPr>
            <w:tcW w:w="17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2"/>
              </w:rPr>
              <w:t>Derivatives (Effective Portion)</w:t>
            </w:r>
          </w:p>
        </w:tc>
        <w:tc>
          <w:tcPr>
            <w:tcW w:w="1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660" w:type="dxa"/>
            <w:vAlign w:val="bottom"/>
            <w:gridSpan w:val="3"/>
            <w:vMerge w:val="continue"/>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gridSpan w:val="4"/>
          </w:tcPr>
          <w:p>
            <w:pPr>
              <w:jc w:val="center"/>
              <w:spacing w:after="0" w:line="103" w:lineRule="exact"/>
              <w:rPr>
                <w:sz w:val="20"/>
                <w:szCs w:val="20"/>
                <w:color w:val="auto"/>
              </w:rPr>
            </w:pPr>
            <w:r>
              <w:rPr>
                <w:rFonts w:ascii="Arial" w:cs="Arial" w:eastAsia="Arial" w:hAnsi="Arial"/>
                <w:sz w:val="10"/>
                <w:szCs w:val="10"/>
                <w:b w:val="1"/>
                <w:bCs w:val="1"/>
                <w:color w:val="auto"/>
                <w:w w:val="91"/>
              </w:rPr>
              <w:t>Three Months Ended March 31,</w:t>
            </w:r>
          </w:p>
        </w:tc>
        <w:tc>
          <w:tcPr>
            <w:tcW w:w="1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60" w:type="dxa"/>
            <w:vAlign w:val="bottom"/>
            <w:gridSpan w:val="3"/>
          </w:tcPr>
          <w:p>
            <w:pPr>
              <w:spacing w:after="0" w:line="103" w:lineRule="exact"/>
              <w:rPr>
                <w:sz w:val="20"/>
                <w:szCs w:val="20"/>
                <w:color w:val="auto"/>
              </w:rPr>
            </w:pPr>
            <w:r>
              <w:rPr>
                <w:rFonts w:ascii="Arial" w:cs="Arial" w:eastAsia="Arial" w:hAnsi="Arial"/>
                <w:sz w:val="10"/>
                <w:szCs w:val="10"/>
                <w:b w:val="1"/>
                <w:bCs w:val="1"/>
                <w:color w:val="auto"/>
              </w:rPr>
              <w:t>Hedging Relationships</w:t>
            </w:r>
          </w:p>
        </w:tc>
        <w:tc>
          <w:tcPr>
            <w:tcW w:w="1760" w:type="dxa"/>
            <w:vAlign w:val="bottom"/>
          </w:tcPr>
          <w:p>
            <w:pPr>
              <w:jc w:val="right"/>
              <w:ind w:right="302"/>
              <w:spacing w:after="0" w:line="103" w:lineRule="exact"/>
              <w:rPr>
                <w:sz w:val="20"/>
                <w:szCs w:val="20"/>
                <w:color w:val="auto"/>
              </w:rPr>
            </w:pPr>
            <w:r>
              <w:rPr>
                <w:rFonts w:ascii="Arial" w:cs="Arial" w:eastAsia="Arial" w:hAnsi="Arial"/>
                <w:sz w:val="10"/>
                <w:szCs w:val="10"/>
                <w:b w:val="1"/>
                <w:bCs w:val="1"/>
                <w:color w:val="auto"/>
              </w:rPr>
              <w:t>2019</w:t>
            </w: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80" w:type="dxa"/>
            <w:vAlign w:val="bottom"/>
          </w:tcPr>
          <w:p>
            <w:pPr>
              <w:jc w:val="right"/>
              <w:ind w:right="1190"/>
              <w:spacing w:after="0" w:line="103" w:lineRule="exact"/>
              <w:rPr>
                <w:sz w:val="20"/>
                <w:szCs w:val="20"/>
                <w:color w:val="auto"/>
              </w:rPr>
            </w:pPr>
            <w:r>
              <w:rPr>
                <w:rFonts w:ascii="Arial" w:cs="Arial" w:eastAsia="Arial" w:hAnsi="Arial"/>
                <w:sz w:val="10"/>
                <w:szCs w:val="10"/>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5460" w:type="dxa"/>
            <w:vAlign w:val="bottom"/>
          </w:tcPr>
          <w:p>
            <w:pPr>
              <w:spacing w:after="0"/>
              <w:rPr>
                <w:sz w:val="20"/>
                <w:szCs w:val="20"/>
                <w:color w:val="auto"/>
              </w:rPr>
            </w:pPr>
            <w:r>
              <w:rPr>
                <w:rFonts w:ascii="Arial" w:cs="Arial" w:eastAsia="Arial" w:hAnsi="Arial"/>
                <w:sz w:val="10"/>
                <w:szCs w:val="10"/>
                <w:color w:val="auto"/>
              </w:rPr>
              <w:t>Commodity contracts</w:t>
            </w:r>
          </w:p>
        </w:tc>
        <w:tc>
          <w:tcPr>
            <w:tcW w:w="180" w:type="dxa"/>
            <w:vAlign w:val="bottom"/>
            <w:vMerge w:val="continue"/>
          </w:tcPr>
          <w:p>
            <w:pPr>
              <w:spacing w:after="0"/>
              <w:rPr>
                <w:sz w:val="10"/>
                <w:szCs w:val="10"/>
                <w:color w:val="auto"/>
              </w:rPr>
            </w:pPr>
          </w:p>
        </w:tc>
        <w:tc>
          <w:tcPr>
            <w:tcW w:w="1760" w:type="dxa"/>
            <w:vAlign w:val="bottom"/>
          </w:tcPr>
          <w:p>
            <w:pPr>
              <w:jc w:val="right"/>
              <w:ind w:right="1682"/>
              <w:spacing w:after="0"/>
              <w:rPr>
                <w:sz w:val="20"/>
                <w:szCs w:val="20"/>
                <w:color w:val="auto"/>
              </w:rPr>
            </w:pPr>
            <w:r>
              <w:rPr>
                <w:rFonts w:ascii="Arial" w:cs="Arial" w:eastAsia="Arial" w:hAnsi="Arial"/>
                <w:sz w:val="5"/>
                <w:szCs w:val="5"/>
                <w:color w:val="auto"/>
                <w:w w:val="70"/>
              </w:rPr>
              <w:t>$</w:t>
            </w:r>
          </w:p>
        </w:tc>
        <w:tc>
          <w:tcPr>
            <w:tcW w:w="1100" w:type="dxa"/>
            <w:vAlign w:val="bottom"/>
            <w:gridSpan w:val="2"/>
          </w:tcPr>
          <w:p>
            <w:pPr>
              <w:jc w:val="right"/>
              <w:ind w:right="160"/>
              <w:spacing w:after="0"/>
              <w:rPr>
                <w:sz w:val="20"/>
                <w:szCs w:val="20"/>
                <w:color w:val="auto"/>
              </w:rPr>
            </w:pPr>
            <w:r>
              <w:rPr>
                <w:rFonts w:ascii="Arial" w:cs="Arial" w:eastAsia="Arial" w:hAnsi="Arial"/>
                <w:sz w:val="10"/>
                <w:szCs w:val="10"/>
                <w:color w:val="auto"/>
              </w:rPr>
              <w:t>(38.8)</w:t>
            </w:r>
          </w:p>
        </w:tc>
        <w:tc>
          <w:tcPr>
            <w:tcW w:w="160" w:type="dxa"/>
            <w:vAlign w:val="bottom"/>
            <w:vMerge w:val="continue"/>
          </w:tcPr>
          <w:p>
            <w:pPr>
              <w:spacing w:after="0"/>
              <w:rPr>
                <w:sz w:val="10"/>
                <w:szCs w:val="10"/>
                <w:color w:val="auto"/>
              </w:rPr>
            </w:pP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1780" w:type="dxa"/>
            <w:vAlign w:val="bottom"/>
          </w:tcPr>
          <w:p>
            <w:pPr>
              <w:jc w:val="right"/>
              <w:spacing w:after="0"/>
              <w:rPr>
                <w:sz w:val="20"/>
                <w:szCs w:val="20"/>
                <w:color w:val="auto"/>
              </w:rPr>
            </w:pPr>
            <w:r>
              <w:rPr>
                <w:rFonts w:ascii="Arial" w:cs="Arial" w:eastAsia="Arial" w:hAnsi="Arial"/>
                <w:sz w:val="10"/>
                <w:szCs w:val="10"/>
                <w:color w:val="auto"/>
              </w:rPr>
              <w:t>64.6</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20" w:name="page21"/>
    <w:bookmarkEnd w:id="20"/>
    <w:p>
      <w:pPr>
        <w:jc w:val="center"/>
        <w:ind w:left="5540"/>
        <w:spacing w:after="0"/>
        <w:rPr>
          <w:sz w:val="20"/>
          <w:szCs w:val="20"/>
          <w:color w:val="auto"/>
        </w:rPr>
      </w:pPr>
      <w:r>
        <w:rPr>
          <w:rFonts w:ascii="Arial" w:cs="Arial" w:eastAsia="Arial" w:hAnsi="Arial"/>
          <w:sz w:val="10"/>
          <w:szCs w:val="10"/>
          <w:b w:val="1"/>
          <w:bCs w:val="1"/>
          <w:color w:val="auto"/>
        </w:rPr>
        <w:t>Gain (Loss) Reclassified from OCI into</w:t>
      </w:r>
    </w:p>
    <w:p>
      <w:pPr>
        <w:jc w:val="center"/>
        <w:ind w:left="5540"/>
        <w:spacing w:after="0" w:line="225" w:lineRule="auto"/>
        <w:rPr>
          <w:sz w:val="20"/>
          <w:szCs w:val="20"/>
          <w:color w:val="auto"/>
        </w:rPr>
      </w:pPr>
      <w:r>
        <w:rPr>
          <w:rFonts w:ascii="Arial" w:cs="Arial" w:eastAsia="Arial" w:hAnsi="Arial"/>
          <w:sz w:val="10"/>
          <w:szCs w:val="10"/>
          <w:b w:val="1"/>
          <w:bCs w:val="1"/>
          <w:color w:val="auto"/>
        </w:rPr>
        <w:t>Income (Effective Portion)</w:t>
      </w:r>
    </w:p>
    <w:tbl>
      <w:tblPr>
        <w:tblLayout w:type="fixed"/>
        <w:tblInd w:w="0" w:type="dxa"/>
        <w:tblCellMar>
          <w:top w:w="0" w:type="dxa"/>
          <w:left w:w="0" w:type="dxa"/>
          <w:bottom w:w="0" w:type="dxa"/>
          <w:right w:w="0" w:type="dxa"/>
        </w:tblCellMar>
      </w:tblPr>
      <w:tr>
        <w:trPr>
          <w:trHeight w:val="102"/>
        </w:trPr>
        <w:tc>
          <w:tcPr>
            <w:tcW w:w="56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Location of Gain (Loss)</w:t>
            </w:r>
          </w:p>
        </w:tc>
        <w:tc>
          <w:tcPr>
            <w:tcW w:w="1780" w:type="dxa"/>
            <w:vAlign w:val="bottom"/>
            <w:tcBorders>
              <w:top w:val="single" w:sz="8" w:color="auto"/>
              <w:bottom w:val="single" w:sz="8" w:color="auto"/>
            </w:tcBorders>
          </w:tcPr>
          <w:p>
            <w:pPr>
              <w:spacing w:after="0"/>
              <w:rPr>
                <w:sz w:val="8"/>
                <w:szCs w:val="8"/>
                <w:color w:val="auto"/>
              </w:rPr>
            </w:pPr>
          </w:p>
        </w:tc>
        <w:tc>
          <w:tcPr>
            <w:tcW w:w="2120" w:type="dxa"/>
            <w:vAlign w:val="bottom"/>
            <w:tcBorders>
              <w:top w:val="single" w:sz="8" w:color="auto"/>
              <w:bottom w:val="single" w:sz="8" w:color="auto"/>
            </w:tcBorders>
            <w:gridSpan w:val="3"/>
          </w:tcPr>
          <w:p>
            <w:pPr>
              <w:jc w:val="right"/>
              <w:ind w:right="330"/>
              <w:spacing w:after="0" w:line="103" w:lineRule="exact"/>
              <w:rPr>
                <w:sz w:val="20"/>
                <w:szCs w:val="20"/>
                <w:color w:val="auto"/>
              </w:rPr>
            </w:pPr>
            <w:r>
              <w:rPr>
                <w:rFonts w:ascii="Arial" w:cs="Arial" w:eastAsia="Arial" w:hAnsi="Arial"/>
                <w:sz w:val="10"/>
                <w:szCs w:val="10"/>
                <w:b w:val="1"/>
                <w:bCs w:val="1"/>
                <w:color w:val="auto"/>
              </w:rPr>
              <w:t>Three Months Ended March 31,</w:t>
            </w:r>
          </w:p>
        </w:tc>
        <w:tc>
          <w:tcPr>
            <w:tcW w:w="1800" w:type="dxa"/>
            <w:vAlign w:val="bottom"/>
            <w:tcBorders>
              <w:top w:val="single" w:sz="8" w:color="auto"/>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60" w:type="dxa"/>
            <w:vAlign w:val="bottom"/>
            <w:gridSpan w:val="3"/>
            <w:vMerge w:val="continue"/>
          </w:tcPr>
          <w:p>
            <w:pPr>
              <w:spacing w:after="0"/>
              <w:rPr>
                <w:sz w:val="8"/>
                <w:szCs w:val="8"/>
                <w:color w:val="auto"/>
              </w:rPr>
            </w:pPr>
          </w:p>
        </w:tc>
        <w:tc>
          <w:tcPr>
            <w:tcW w:w="1780" w:type="dxa"/>
            <w:vAlign w:val="bottom"/>
          </w:tcPr>
          <w:p>
            <w:pPr>
              <w:jc w:val="right"/>
              <w:ind w:right="322"/>
              <w:spacing w:after="0" w:line="103" w:lineRule="exact"/>
              <w:rPr>
                <w:sz w:val="20"/>
                <w:szCs w:val="20"/>
                <w:color w:val="auto"/>
              </w:rPr>
            </w:pPr>
            <w:r>
              <w:rPr>
                <w:rFonts w:ascii="Arial" w:cs="Arial" w:eastAsia="Arial" w:hAnsi="Arial"/>
                <w:sz w:val="10"/>
                <w:szCs w:val="10"/>
                <w:b w:val="1"/>
                <w:bCs w:val="1"/>
                <w:color w:val="auto"/>
              </w:rPr>
              <w:t>2019</w:t>
            </w: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0" w:type="dxa"/>
            <w:vAlign w:val="bottom"/>
          </w:tcPr>
          <w:p>
            <w:pPr>
              <w:jc w:val="right"/>
              <w:ind w:right="1190"/>
              <w:spacing w:after="0" w:line="103"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5460" w:type="dxa"/>
            <w:vAlign w:val="bottom"/>
          </w:tcPr>
          <w:p>
            <w:pPr>
              <w:spacing w:after="0"/>
              <w:rPr>
                <w:sz w:val="20"/>
                <w:szCs w:val="20"/>
                <w:color w:val="auto"/>
              </w:rPr>
            </w:pPr>
            <w:r>
              <w:rPr>
                <w:rFonts w:ascii="Arial" w:cs="Arial" w:eastAsia="Arial" w:hAnsi="Arial"/>
                <w:sz w:val="10"/>
                <w:szCs w:val="10"/>
                <w:color w:val="auto"/>
              </w:rPr>
              <w:t>Revenues</w:t>
            </w:r>
          </w:p>
        </w:tc>
        <w:tc>
          <w:tcPr>
            <w:tcW w:w="180" w:type="dxa"/>
            <w:vAlign w:val="bottom"/>
            <w:vMerge w:val="continue"/>
          </w:tcPr>
          <w:p>
            <w:pPr>
              <w:spacing w:after="0"/>
              <w:rPr>
                <w:sz w:val="10"/>
                <w:szCs w:val="10"/>
                <w:color w:val="auto"/>
              </w:rPr>
            </w:pPr>
          </w:p>
        </w:tc>
        <w:tc>
          <w:tcPr>
            <w:tcW w:w="1780" w:type="dxa"/>
            <w:vAlign w:val="bottom"/>
          </w:tcPr>
          <w:p>
            <w:pPr>
              <w:jc w:val="right"/>
              <w:ind w:right="1702"/>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21.3</w:t>
            </w:r>
          </w:p>
        </w:tc>
        <w:tc>
          <w:tcPr>
            <w:tcW w:w="360" w:type="dxa"/>
            <w:vAlign w:val="bottom"/>
            <w:vMerge w:val="continue"/>
          </w:tcPr>
          <w:p>
            <w:pPr>
              <w:spacing w:after="0"/>
              <w:rPr>
                <w:sz w:val="10"/>
                <w:szCs w:val="10"/>
                <w:color w:val="auto"/>
              </w:rPr>
            </w:pP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1820" w:type="dxa"/>
            <w:vAlign w:val="bottom"/>
            <w:gridSpan w:val="2"/>
          </w:tcPr>
          <w:p>
            <w:pPr>
              <w:jc w:val="right"/>
              <w:spacing w:after="0"/>
              <w:rPr>
                <w:sz w:val="20"/>
                <w:szCs w:val="20"/>
                <w:color w:val="auto"/>
              </w:rPr>
            </w:pPr>
            <w:r>
              <w:rPr>
                <w:rFonts w:ascii="Arial" w:cs="Arial" w:eastAsia="Arial" w:hAnsi="Arial"/>
                <w:sz w:val="10"/>
                <w:szCs w:val="10"/>
                <w:color w:val="auto"/>
              </w:rPr>
              <w:t>(26.7)</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Our consolidated earnings are also affected by the use of the mark-to-market method of accounting for derivative instruments that do not qualify for hedge accounting or that have not been designated as hedges. The changes in fair value of these instruments are recorded on the balance sheet and through earnings rather than being deferred until the anticipated transaction settles. The use of mark-to-market accounting for financial instruments can cause non-cash earnings volatility due to changes in the underlying commodity price indices.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Location of Gain</w:t>
            </w:r>
          </w:p>
        </w:tc>
        <w:tc>
          <w:tcPr>
            <w:tcW w:w="460" w:type="dxa"/>
            <w:vAlign w:val="bottom"/>
          </w:tcPr>
          <w:p>
            <w:pPr>
              <w:spacing w:after="0"/>
              <w:rPr>
                <w:sz w:val="10"/>
                <w:szCs w:val="10"/>
                <w:color w:val="auto"/>
              </w:rPr>
            </w:pPr>
          </w:p>
        </w:tc>
        <w:tc>
          <w:tcPr>
            <w:tcW w:w="3760" w:type="dxa"/>
            <w:vAlign w:val="bottom"/>
            <w:gridSpan w:val="6"/>
          </w:tcPr>
          <w:p>
            <w:pPr>
              <w:jc w:val="center"/>
              <w:ind w:right="500"/>
              <w:spacing w:after="0"/>
              <w:rPr>
                <w:sz w:val="20"/>
                <w:szCs w:val="20"/>
                <w:color w:val="auto"/>
              </w:rPr>
            </w:pPr>
            <w:r>
              <w:rPr>
                <w:rFonts w:ascii="Arial" w:cs="Arial" w:eastAsia="Arial" w:hAnsi="Arial"/>
                <w:sz w:val="10"/>
                <w:szCs w:val="10"/>
                <w:b w:val="1"/>
                <w:bCs w:val="1"/>
                <w:color w:val="auto"/>
                <w:w w:val="89"/>
              </w:rPr>
              <w:t>Gain (Loss) Recognized in Income on Derivatives</w:t>
            </w:r>
          </w:p>
        </w:tc>
      </w:tr>
      <w:tr>
        <w:trPr>
          <w:trHeight w:val="102"/>
        </w:trPr>
        <w:tc>
          <w:tcPr>
            <w:tcW w:w="4100" w:type="dxa"/>
            <w:vAlign w:val="bottom"/>
            <w:gridSpan w:val="2"/>
          </w:tcPr>
          <w:p>
            <w:pPr>
              <w:jc w:val="center"/>
              <w:ind w:right="180"/>
              <w:spacing w:after="0" w:line="103" w:lineRule="exact"/>
              <w:rPr>
                <w:sz w:val="20"/>
                <w:szCs w:val="20"/>
                <w:color w:val="auto"/>
              </w:rPr>
            </w:pPr>
            <w:r>
              <w:rPr>
                <w:rFonts w:ascii="Arial" w:cs="Arial" w:eastAsia="Arial" w:hAnsi="Arial"/>
                <w:sz w:val="10"/>
                <w:szCs w:val="10"/>
                <w:b w:val="1"/>
                <w:bCs w:val="1"/>
                <w:color w:val="auto"/>
                <w:w w:val="89"/>
              </w:rPr>
              <w:t>Derivatives Not Designated</w:t>
            </w:r>
          </w:p>
        </w:tc>
        <w:tc>
          <w:tcPr>
            <w:tcW w:w="3060" w:type="dxa"/>
            <w:vAlign w:val="bottom"/>
            <w:gridSpan w:val="2"/>
          </w:tcPr>
          <w:p>
            <w:pPr>
              <w:jc w:val="center"/>
              <w:ind w:right="180"/>
              <w:spacing w:after="0" w:line="103" w:lineRule="exact"/>
              <w:rPr>
                <w:sz w:val="20"/>
                <w:szCs w:val="20"/>
                <w:color w:val="auto"/>
              </w:rPr>
            </w:pPr>
            <w:r>
              <w:rPr>
                <w:rFonts w:ascii="Arial" w:cs="Arial" w:eastAsia="Arial" w:hAnsi="Arial"/>
                <w:sz w:val="10"/>
                <w:szCs w:val="10"/>
                <w:b w:val="1"/>
                <w:bCs w:val="1"/>
                <w:color w:val="auto"/>
                <w:w w:val="89"/>
              </w:rPr>
              <w:t>Recognized in Income on</w:t>
            </w:r>
          </w:p>
        </w:tc>
        <w:tc>
          <w:tcPr>
            <w:tcW w:w="460" w:type="dxa"/>
            <w:vAlign w:val="bottom"/>
            <w:tcBorders>
              <w:top w:val="single" w:sz="8" w:color="auto"/>
              <w:bottom w:val="single" w:sz="8" w:color="auto"/>
            </w:tcBorders>
          </w:tcPr>
          <w:p>
            <w:pPr>
              <w:spacing w:after="0"/>
              <w:rPr>
                <w:sz w:val="8"/>
                <w:szCs w:val="8"/>
                <w:color w:val="auto"/>
              </w:rPr>
            </w:pPr>
          </w:p>
        </w:tc>
        <w:tc>
          <w:tcPr>
            <w:tcW w:w="2500" w:type="dxa"/>
            <w:vAlign w:val="bottom"/>
            <w:tcBorders>
              <w:top w:val="single" w:sz="8" w:color="auto"/>
              <w:bottom w:val="single" w:sz="8" w:color="auto"/>
            </w:tcBorders>
            <w:gridSpan w:val="4"/>
          </w:tcPr>
          <w:p>
            <w:pPr>
              <w:jc w:val="center"/>
              <w:ind w:left="710"/>
              <w:spacing w:after="0" w:line="103" w:lineRule="exact"/>
              <w:rPr>
                <w:sz w:val="20"/>
                <w:szCs w:val="20"/>
                <w:color w:val="auto"/>
              </w:rPr>
            </w:pPr>
            <w:r>
              <w:rPr>
                <w:rFonts w:ascii="Arial" w:cs="Arial" w:eastAsia="Arial" w:hAnsi="Arial"/>
                <w:sz w:val="10"/>
                <w:szCs w:val="10"/>
                <w:b w:val="1"/>
                <w:bCs w:val="1"/>
                <w:color w:val="auto"/>
                <w:w w:val="93"/>
              </w:rPr>
              <w:t>Three Months Ended March 31,</w:t>
            </w:r>
          </w:p>
        </w:tc>
        <w:tc>
          <w:tcPr>
            <w:tcW w:w="1240" w:type="dxa"/>
            <w:vAlign w:val="bottom"/>
            <w:tcBorders>
              <w:top w:val="single" w:sz="8" w:color="auto"/>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3940" w:type="dxa"/>
            <w:vAlign w:val="bottom"/>
            <w:tcBorders>
              <w:bottom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1"/>
              </w:rPr>
              <w:t>as Hedging Instruments</w:t>
            </w:r>
          </w:p>
        </w:tc>
        <w:tc>
          <w:tcPr>
            <w:tcW w:w="160" w:type="dxa"/>
            <w:vAlign w:val="bottom"/>
          </w:tcPr>
          <w:p>
            <w:pPr>
              <w:spacing w:after="0"/>
              <w:rPr>
                <w:sz w:val="8"/>
                <w:szCs w:val="8"/>
                <w:color w:val="auto"/>
              </w:rPr>
            </w:pPr>
          </w:p>
        </w:tc>
        <w:tc>
          <w:tcPr>
            <w:tcW w:w="2900" w:type="dxa"/>
            <w:vAlign w:val="bottom"/>
            <w:tcBorders>
              <w:bottom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89"/>
              </w:rPr>
              <w:t>Derivatives</w:t>
            </w:r>
          </w:p>
        </w:tc>
        <w:tc>
          <w:tcPr>
            <w:tcW w:w="1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jc w:val="right"/>
              <w:ind w:right="810"/>
              <w:spacing w:after="0" w:line="103" w:lineRule="exact"/>
              <w:rPr>
                <w:sz w:val="20"/>
                <w:szCs w:val="20"/>
                <w:color w:val="auto"/>
              </w:rPr>
            </w:pPr>
            <w:r>
              <w:rPr>
                <w:rFonts w:ascii="Arial" w:cs="Arial" w:eastAsia="Arial" w:hAnsi="Arial"/>
                <w:sz w:val="10"/>
                <w:szCs w:val="10"/>
                <w:b w:val="1"/>
                <w:bCs w:val="1"/>
                <w:color w:val="auto"/>
              </w:rPr>
              <w:t>2019</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jc w:val="right"/>
              <w:ind w:right="830"/>
              <w:spacing w:after="0" w:line="103"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8"/>
                <w:szCs w:val="8"/>
                <w:color w:val="auto"/>
              </w:rPr>
            </w:pPr>
          </w:p>
        </w:tc>
      </w:tr>
      <w:tr>
        <w:trPr>
          <w:trHeight w:val="117"/>
        </w:trPr>
        <w:tc>
          <w:tcPr>
            <w:tcW w:w="3940" w:type="dxa"/>
            <w:vAlign w:val="bottom"/>
          </w:tcPr>
          <w:p>
            <w:pPr>
              <w:jc w:val="center"/>
              <w:spacing w:after="0"/>
              <w:rPr>
                <w:sz w:val="20"/>
                <w:szCs w:val="20"/>
                <w:color w:val="auto"/>
              </w:rPr>
            </w:pPr>
            <w:r>
              <w:rPr>
                <w:rFonts w:ascii="Arial" w:cs="Arial" w:eastAsia="Arial" w:hAnsi="Arial"/>
                <w:sz w:val="10"/>
                <w:szCs w:val="10"/>
                <w:color w:val="auto"/>
                <w:w w:val="93"/>
              </w:rPr>
              <w:t>Commodity contracts</w:t>
            </w:r>
          </w:p>
        </w:tc>
        <w:tc>
          <w:tcPr>
            <w:tcW w:w="160" w:type="dxa"/>
            <w:vAlign w:val="bottom"/>
          </w:tcPr>
          <w:p>
            <w:pPr>
              <w:spacing w:after="0"/>
              <w:rPr>
                <w:sz w:val="10"/>
                <w:szCs w:val="10"/>
                <w:color w:val="auto"/>
              </w:rPr>
            </w:pPr>
          </w:p>
        </w:tc>
        <w:tc>
          <w:tcPr>
            <w:tcW w:w="2900" w:type="dxa"/>
            <w:vAlign w:val="bottom"/>
          </w:tcPr>
          <w:p>
            <w:pPr>
              <w:jc w:val="center"/>
              <w:spacing w:after="0"/>
              <w:rPr>
                <w:sz w:val="20"/>
                <w:szCs w:val="20"/>
                <w:color w:val="auto"/>
              </w:rPr>
            </w:pPr>
            <w:r>
              <w:rPr>
                <w:rFonts w:ascii="Arial" w:cs="Arial" w:eastAsia="Arial" w:hAnsi="Arial"/>
                <w:sz w:val="10"/>
                <w:szCs w:val="10"/>
                <w:color w:val="auto"/>
                <w:w w:val="84"/>
              </w:rPr>
              <w:t>Revenue</w:t>
            </w:r>
          </w:p>
        </w:tc>
        <w:tc>
          <w:tcPr>
            <w:tcW w:w="160" w:type="dxa"/>
            <w:vAlign w:val="bottom"/>
          </w:tcPr>
          <w:p>
            <w:pPr>
              <w:spacing w:after="0"/>
              <w:rPr>
                <w:sz w:val="10"/>
                <w:szCs w:val="10"/>
                <w:color w:val="auto"/>
              </w:rPr>
            </w:pP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660" w:type="dxa"/>
            <w:vAlign w:val="bottom"/>
            <w:gridSpan w:val="2"/>
          </w:tcPr>
          <w:p>
            <w:pPr>
              <w:jc w:val="right"/>
              <w:ind w:right="160"/>
              <w:spacing w:after="0"/>
              <w:rPr>
                <w:sz w:val="20"/>
                <w:szCs w:val="20"/>
                <w:color w:val="auto"/>
              </w:rPr>
            </w:pPr>
            <w:r>
              <w:rPr>
                <w:rFonts w:ascii="Arial" w:cs="Arial" w:eastAsia="Arial" w:hAnsi="Arial"/>
                <w:sz w:val="10"/>
                <w:szCs w:val="10"/>
                <w:color w:val="auto"/>
              </w:rPr>
              <w:t>(9.5)</w:t>
            </w:r>
          </w:p>
        </w:tc>
        <w:tc>
          <w:tcPr>
            <w:tcW w:w="160" w:type="dxa"/>
            <w:vAlign w:val="bottom"/>
          </w:tcPr>
          <w:p>
            <w:pPr>
              <w:spacing w:after="0"/>
              <w:rPr>
                <w:sz w:val="10"/>
                <w:szCs w:val="10"/>
                <w:color w:val="auto"/>
              </w:rPr>
            </w:pPr>
          </w:p>
        </w:tc>
        <w:tc>
          <w:tcPr>
            <w:tcW w:w="680" w:type="dxa"/>
            <w:vAlign w:val="bottom"/>
          </w:tcPr>
          <w:p>
            <w:pPr>
              <w:jc w:val="right"/>
              <w:ind w:right="615"/>
              <w:spacing w:after="0"/>
              <w:rPr>
                <w:sz w:val="20"/>
                <w:szCs w:val="20"/>
                <w:color w:val="auto"/>
              </w:rPr>
            </w:pPr>
            <w:r>
              <w:rPr>
                <w:rFonts w:ascii="Arial" w:cs="Arial" w:eastAsia="Arial" w:hAnsi="Arial"/>
                <w:sz w:val="5"/>
                <w:szCs w:val="5"/>
                <w:color w:val="auto"/>
                <w:w w:val="70"/>
              </w:rPr>
              <w:t>$</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(10.8)</w:t>
            </w:r>
          </w:p>
        </w:tc>
      </w:tr>
    </w:tbl>
    <w:p>
      <w:pPr>
        <w:spacing w:after="0" w:line="155"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Based on valuations as of March 31, 2019, we expect to reclassify commodity hedge-related deferred gains of $64.6 million included in accumulated other comprehensive income into earnings before income taxes through the end of 2021, with $47.3 million of gains to be reclassified over the next twelve months.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See Note 14 – Fair Value Measurements and Note 19 – Segment Information for additional disclosures related to derivative instruments and hedging activities.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434" w:right="19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auto"/>
        </w:rPr>
        <w:t>Note 14 — Fair Value Measurements</w:t>
      </w:r>
    </w:p>
    <w:p>
      <w:pPr>
        <w:spacing w:after="0" w:line="80"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Under GAAP, our Consolidated Balance Sheets reflect a mixture of measurement methods for financial assets and liabilities (“financial instruments”). Derivative financial instruments and contingent consideration related to business acquisitions are reported at fair value on our Consolidated Balance Sheets. Other financial instruments are reported at historical cost or amortized cost on our Consolidated Balance Sheets. The following are additional qualitative and quantitative disclosures regarding fair value measurements of financial instruments.</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of Derivative Financial Instruments</w:t>
      </w:r>
    </w:p>
    <w:p>
      <w:pPr>
        <w:spacing w:after="0" w:line="76"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Our derivative instruments consist of financially settled commodity swaps, futures, option contracts and fixed-price forward commodity contracts with certain counterparties. We determine the fair value of our derivative contracts using present value methods or standard option valuation models with assumptions about commodity prices based on those observed in underlying markets. We have consistently applied these valuation techniques in all periods presented and we believe we have obtained the most accurate information available for the types of derivative contracts we hold.</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The fair values of our derivative instruments are sensitive to changes in forward pricing on natural gas, NGLs and crude oil. The financial position of these derivatives at March 31, 2019, a net asset position of $46.3 million, reflects the present value, adjusted for counterparty credit risk, of the amount we expect to receive or pay in the future on our derivative contracts. If forward pricing on natural gas, NGLs and crude oil were to increase by 10%, the result would be a fair value reflecting a net liability of $40.1 million, ignoring an adjustment for counterparty credit risk. If forward pricing on natural gas, NGLs and crude oil were to decrease by 10%, the result would be a fair value reflecting a net asset of $129.2 million, ignoring an adjustment for counterparty credit risk.</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of Other Financial Instruments</w:t>
      </w:r>
    </w:p>
    <w:p>
      <w:pPr>
        <w:spacing w:after="0" w:line="76" w:lineRule="exact"/>
        <w:rPr>
          <w:sz w:val="20"/>
          <w:szCs w:val="20"/>
          <w:color w:val="auto"/>
        </w:rPr>
      </w:pPr>
    </w:p>
    <w:p>
      <w:pPr>
        <w:jc w:val="both"/>
        <w:ind w:right="20"/>
        <w:spacing w:after="0" w:line="344" w:lineRule="auto"/>
        <w:rPr>
          <w:sz w:val="20"/>
          <w:szCs w:val="20"/>
          <w:color w:val="auto"/>
        </w:rPr>
      </w:pPr>
      <w:r>
        <w:rPr>
          <w:rFonts w:ascii="Arial" w:cs="Arial" w:eastAsia="Arial" w:hAnsi="Arial"/>
          <w:sz w:val="11"/>
          <w:szCs w:val="11"/>
          <w:color w:val="auto"/>
        </w:rPr>
        <w:t>Due to their cash or near-cash nature, the carrying value of other financial instruments included in working capital (i.e., cash and cash equivalents, accounts receivable, accounts payable) approximates their fair value. Long-term debt is primarily the other financial instrument for which carrying value could vary significantly from fair value. We determined the supplemental fair value disclosures for our long-term debt as follows:</w:t>
      </w:r>
    </w:p>
    <w:p>
      <w:pPr>
        <w:spacing w:after="0" w:line="14" w:lineRule="exact"/>
        <w:rPr>
          <w:sz w:val="20"/>
          <w:szCs w:val="20"/>
          <w:color w:val="auto"/>
        </w:rPr>
      </w:pPr>
    </w:p>
    <w:p>
      <w:pPr>
        <w:ind w:left="1040" w:hanging="527"/>
        <w:spacing w:after="0"/>
        <w:tabs>
          <w:tab w:leader="none" w:pos="10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TRP Revolver and the accounts receivable securitization facility are based on carrying value, which approximates fair value as their interest rates are based on prevailing market rates; and</w:t>
      </w:r>
    </w:p>
    <w:p>
      <w:pPr>
        <w:spacing w:after="0" w:line="99" w:lineRule="exact"/>
        <w:rPr>
          <w:rFonts w:ascii="Arial" w:cs="Arial" w:eastAsia="Arial" w:hAnsi="Arial"/>
          <w:sz w:val="11"/>
          <w:szCs w:val="11"/>
          <w:color w:val="auto"/>
        </w:rPr>
      </w:pPr>
    </w:p>
    <w:p>
      <w:pPr>
        <w:ind w:left="1040" w:hanging="527"/>
        <w:spacing w:after="0"/>
        <w:tabs>
          <w:tab w:leader="none" w:pos="10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Senior unsecured notes are based on quoted market prices derived from trades of the debt.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Contingent consideration liabilities related to business acquisitions are carried at fair value until the end of the related earn-out period.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Hierarchy</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We categorize the inputs to the fair value measurements of financial assets and liabilities at each balance sheet reporting date using a three-tier fair value hierarchy that prioritizes the significant inputs used in measuring fair value:</w:t>
      </w:r>
    </w:p>
    <w:p>
      <w:pPr>
        <w:spacing w:after="0" w:line="60" w:lineRule="exact"/>
        <w:rPr>
          <w:sz w:val="20"/>
          <w:szCs w:val="20"/>
          <w:color w:val="auto"/>
        </w:rPr>
      </w:pPr>
    </w:p>
    <w:p>
      <w:pPr>
        <w:ind w:left="1040" w:hanging="527"/>
        <w:spacing w:after="0"/>
        <w:tabs>
          <w:tab w:leader="none" w:pos="10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Level 1 – observable inputs such as quoted prices in active markets;</w:t>
      </w:r>
    </w:p>
    <w:p>
      <w:pPr>
        <w:spacing w:after="0" w:line="76" w:lineRule="exact"/>
        <w:rPr>
          <w:rFonts w:ascii="Arial" w:cs="Arial" w:eastAsia="Arial" w:hAnsi="Arial"/>
          <w:sz w:val="13"/>
          <w:szCs w:val="13"/>
          <w:color w:val="auto"/>
        </w:rPr>
      </w:pPr>
    </w:p>
    <w:p>
      <w:pPr>
        <w:ind w:left="1040" w:hanging="527"/>
        <w:spacing w:after="0"/>
        <w:tabs>
          <w:tab w:leader="none" w:pos="10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Level 2 – inputs other than quoted prices in active markets that we can directly or indirectly observe to the extent that the markets are liquid for the relevant settlement periods; and</w:t>
      </w:r>
    </w:p>
    <w:p>
      <w:pPr>
        <w:spacing w:after="0" w:line="76" w:lineRule="exact"/>
        <w:rPr>
          <w:rFonts w:ascii="Arial" w:cs="Arial" w:eastAsia="Arial" w:hAnsi="Arial"/>
          <w:sz w:val="13"/>
          <w:szCs w:val="13"/>
          <w:color w:val="auto"/>
        </w:rPr>
      </w:pPr>
    </w:p>
    <w:p>
      <w:pPr>
        <w:ind w:left="1040" w:hanging="527"/>
        <w:spacing w:after="0"/>
        <w:tabs>
          <w:tab w:leader="none" w:pos="10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Level 3 – unobservable inputs in which little or no market data exists, therefore we must develop our own assumptions.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22" w:name="page23"/>
    <w:bookmarkEnd w:id="22"/>
    <w:p>
      <w:pPr>
        <w:ind w:left="5"/>
        <w:spacing w:after="0" w:line="254" w:lineRule="auto"/>
        <w:rPr>
          <w:sz w:val="20"/>
          <w:szCs w:val="20"/>
          <w:color w:val="auto"/>
        </w:rPr>
      </w:pPr>
      <w:r>
        <w:rPr>
          <w:rFonts w:ascii="Arial" w:cs="Arial" w:eastAsia="Arial" w:hAnsi="Arial"/>
          <w:sz w:val="13"/>
          <w:szCs w:val="13"/>
          <w:color w:val="auto"/>
        </w:rPr>
        <w:t>The following table shows a breakdown by fair value hierarchy category for (1) financial instruments measurements included on our Consolidated Balance Sheets at fair value and (2) supplemental fair value disclosures for other financial instruments:</w:t>
      </w:r>
    </w:p>
    <w:p>
      <w:pPr>
        <w:spacing w:after="0" w:line="186"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5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March 31, 2019</w:t>
            </w: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restart"/>
          </w:tcPr>
          <w:p>
            <w:pPr>
              <w:jc w:val="right"/>
              <w:ind w:right="170"/>
              <w:spacing w:after="0"/>
              <w:rPr>
                <w:sz w:val="20"/>
                <w:szCs w:val="20"/>
                <w:color w:val="auto"/>
              </w:rPr>
            </w:pPr>
            <w:r>
              <w:rPr>
                <w:rFonts w:ascii="Arial" w:cs="Arial" w:eastAsia="Arial" w:hAnsi="Arial"/>
                <w:sz w:val="10"/>
                <w:szCs w:val="10"/>
                <w:b w:val="1"/>
                <w:bCs w:val="1"/>
                <w:color w:val="auto"/>
              </w:rPr>
              <w:t>Carrying Value</w:t>
            </w: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3"/>
          </w:tcPr>
          <w:p>
            <w:pPr>
              <w:ind w:left="840"/>
              <w:spacing w:after="0" w:line="103" w:lineRule="exact"/>
              <w:rPr>
                <w:sz w:val="20"/>
                <w:szCs w:val="20"/>
                <w:color w:val="auto"/>
              </w:rPr>
            </w:pPr>
            <w:r>
              <w:rPr>
                <w:rFonts w:ascii="Arial" w:cs="Arial" w:eastAsia="Arial" w:hAnsi="Arial"/>
                <w:sz w:val="10"/>
                <w:szCs w:val="10"/>
                <w:b w:val="1"/>
                <w:bCs w:val="1"/>
                <w:color w:val="auto"/>
              </w:rPr>
              <w:t>Fair Value</w:t>
            </w: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00" w:type="dxa"/>
            <w:vAlign w:val="bottom"/>
            <w:vMerge w:val="restart"/>
          </w:tcPr>
          <w:p>
            <w:pPr>
              <w:spacing w:after="0"/>
              <w:rPr>
                <w:sz w:val="20"/>
                <w:szCs w:val="20"/>
                <w:color w:val="auto"/>
              </w:rPr>
            </w:pPr>
            <w:r>
              <w:rPr>
                <w:rFonts w:ascii="Arial" w:cs="Arial" w:eastAsia="Arial" w:hAnsi="Arial"/>
                <w:sz w:val="10"/>
                <w:szCs w:val="10"/>
                <w:b w:val="1"/>
                <w:bCs w:val="1"/>
                <w:color w:val="auto"/>
              </w:rPr>
              <w:t>Financial Instruments Recorded on Our</w:t>
            </w: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gridSpan w:val="2"/>
          </w:tcPr>
          <w:p>
            <w:pPr>
              <w:ind w:left="180"/>
              <w:spacing w:after="0" w:line="103" w:lineRule="exact"/>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8"/>
                <w:szCs w:val="8"/>
                <w:color w:val="auto"/>
              </w:rPr>
            </w:pPr>
          </w:p>
        </w:tc>
        <w:tc>
          <w:tcPr>
            <w:tcW w:w="960" w:type="dxa"/>
            <w:vAlign w:val="bottom"/>
          </w:tcPr>
          <w:p>
            <w:pPr>
              <w:ind w:left="260"/>
              <w:spacing w:after="0" w:line="103" w:lineRule="exact"/>
              <w:rPr>
                <w:sz w:val="20"/>
                <w:szCs w:val="20"/>
                <w:color w:val="auto"/>
              </w:rPr>
            </w:pPr>
            <w:r>
              <w:rPr>
                <w:rFonts w:ascii="Arial" w:cs="Arial" w:eastAsia="Arial" w:hAnsi="Arial"/>
                <w:sz w:val="10"/>
                <w:szCs w:val="10"/>
                <w:b w:val="1"/>
                <w:bCs w:val="1"/>
                <w:color w:val="auto"/>
              </w:rPr>
              <w:t>Level 1</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2"/>
          </w:tcPr>
          <w:p>
            <w:pPr>
              <w:ind w:left="140"/>
              <w:spacing w:after="0" w:line="103" w:lineRule="exact"/>
              <w:rPr>
                <w:sz w:val="20"/>
                <w:szCs w:val="20"/>
                <w:color w:val="auto"/>
              </w:rPr>
            </w:pPr>
            <w:r>
              <w:rPr>
                <w:rFonts w:ascii="Arial" w:cs="Arial" w:eastAsia="Arial" w:hAnsi="Arial"/>
                <w:sz w:val="10"/>
                <w:szCs w:val="10"/>
                <w:b w:val="1"/>
                <w:bCs w:val="1"/>
                <w:color w:val="auto"/>
              </w:rPr>
              <w:t>Level 2</w:t>
            </w:r>
          </w:p>
        </w:tc>
        <w:tc>
          <w:tcPr>
            <w:tcW w:w="220" w:type="dxa"/>
            <w:vAlign w:val="bottom"/>
          </w:tcPr>
          <w:p>
            <w:pPr>
              <w:spacing w:after="0"/>
              <w:rPr>
                <w:sz w:val="8"/>
                <w:szCs w:val="8"/>
                <w:color w:val="auto"/>
              </w:rPr>
            </w:pPr>
          </w:p>
        </w:tc>
        <w:tc>
          <w:tcPr>
            <w:tcW w:w="880" w:type="dxa"/>
            <w:vAlign w:val="bottom"/>
          </w:tcPr>
          <w:p>
            <w:pPr>
              <w:jc w:val="right"/>
              <w:ind w:right="350"/>
              <w:spacing w:after="0" w:line="103" w:lineRule="exact"/>
              <w:rPr>
                <w:sz w:val="20"/>
                <w:szCs w:val="20"/>
                <w:color w:val="auto"/>
              </w:rPr>
            </w:pPr>
            <w:r>
              <w:rPr>
                <w:rFonts w:ascii="Arial" w:cs="Arial" w:eastAsia="Arial" w:hAnsi="Arial"/>
                <w:sz w:val="10"/>
                <w:szCs w:val="10"/>
                <w:b w:val="1"/>
                <w:bCs w:val="1"/>
                <w:color w:val="auto"/>
              </w:rPr>
              <w:t>Level 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000" w:type="dxa"/>
            <w:vAlign w:val="bottom"/>
            <w:vMerge w:val="continue"/>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5000" w:type="dxa"/>
            <w:vAlign w:val="bottom"/>
          </w:tcPr>
          <w:p>
            <w:pPr>
              <w:ind w:left="80"/>
              <w:spacing w:after="0"/>
              <w:rPr>
                <w:sz w:val="20"/>
                <w:szCs w:val="20"/>
                <w:color w:val="auto"/>
              </w:rPr>
            </w:pPr>
            <w:r>
              <w:rPr>
                <w:rFonts w:ascii="Arial" w:cs="Arial" w:eastAsia="Arial" w:hAnsi="Arial"/>
                <w:sz w:val="10"/>
                <w:szCs w:val="10"/>
                <w:b w:val="1"/>
                <w:bCs w:val="1"/>
                <w:color w:val="auto"/>
              </w:rPr>
              <w:t>Consolidated Balance Sheets at Fair Value:</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00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Assets from commodity derivative contracts (1)</w:t>
            </w:r>
          </w:p>
        </w:tc>
        <w:tc>
          <w:tcPr>
            <w:tcW w:w="120" w:type="dxa"/>
            <w:vAlign w:val="bottom"/>
            <w:shd w:val="clear" w:color="auto" w:fill="CFF0FC"/>
          </w:tcPr>
          <w:p>
            <w:pPr>
              <w:jc w:val="right"/>
              <w:ind w:right="10"/>
              <w:spacing w:after="0" w:line="113" w:lineRule="exact"/>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97.2</w:t>
            </w:r>
          </w:p>
        </w:tc>
        <w:tc>
          <w:tcPr>
            <w:tcW w:w="480" w:type="dxa"/>
            <w:vAlign w:val="bottom"/>
            <w:gridSpan w:val="2"/>
            <w:shd w:val="clear" w:color="auto" w:fill="CFF0FC"/>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8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97.2</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55"/>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FF0FC"/>
          </w:tcPr>
          <w:p>
            <w:pPr>
              <w:ind w:left="840"/>
              <w:spacing w:after="0" w:line="113" w:lineRule="exact"/>
              <w:rPr>
                <w:sz w:val="20"/>
                <w:szCs w:val="20"/>
                <w:color w:val="auto"/>
              </w:rPr>
            </w:pPr>
            <w:r>
              <w:rPr>
                <w:rFonts w:ascii="Arial" w:cs="Arial" w:eastAsia="Arial" w:hAnsi="Arial"/>
                <w:sz w:val="10"/>
                <w:szCs w:val="10"/>
                <w:color w:val="auto"/>
                <w:w w:val="99"/>
              </w:rPr>
              <w:t>—</w:t>
            </w:r>
          </w:p>
        </w:tc>
        <w:tc>
          <w:tcPr>
            <w:tcW w:w="480" w:type="dxa"/>
            <w:vAlign w:val="bottom"/>
            <w:gridSpan w:val="2"/>
            <w:shd w:val="clear" w:color="auto" w:fill="CFF0FC"/>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8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93.3</w:t>
            </w: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10"/>
              <w:spacing w:after="0" w:line="113" w:lineRule="exact"/>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3.9</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000" w:type="dxa"/>
            <w:vAlign w:val="bottom"/>
          </w:tcPr>
          <w:p>
            <w:pPr>
              <w:spacing w:after="0" w:line="113" w:lineRule="exact"/>
              <w:rPr>
                <w:sz w:val="20"/>
                <w:szCs w:val="20"/>
                <w:color w:val="auto"/>
              </w:rPr>
            </w:pPr>
            <w:r>
              <w:rPr>
                <w:rFonts w:ascii="Arial" w:cs="Arial" w:eastAsia="Arial" w:hAnsi="Arial"/>
                <w:sz w:val="10"/>
                <w:szCs w:val="10"/>
                <w:color w:val="auto"/>
              </w:rPr>
              <w:t>Liabilities from commodity derivative contracts (1)</w:t>
            </w:r>
          </w:p>
        </w:tc>
        <w:tc>
          <w:tcPr>
            <w:tcW w:w="12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50.9</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50.9</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ind w:left="840"/>
              <w:spacing w:after="0" w:line="113" w:lineRule="exact"/>
              <w:rPr>
                <w:sz w:val="20"/>
                <w:szCs w:val="20"/>
                <w:color w:val="auto"/>
              </w:rPr>
            </w:pPr>
            <w:r>
              <w:rPr>
                <w:rFonts w:ascii="Arial" w:cs="Arial" w:eastAsia="Arial" w:hAnsi="Arial"/>
                <w:sz w:val="10"/>
                <w:szCs w:val="10"/>
                <w:color w:val="auto"/>
                <w:w w:val="99"/>
              </w:rPr>
              <w:t>—</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50.5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Arial" w:cs="Arial" w:eastAsia="Arial" w:hAnsi="Arial"/>
                <w:sz w:val="10"/>
                <w:szCs w:val="10"/>
                <w:color w:val="auto"/>
              </w:rPr>
              <w:t>0.4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00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TPL contingent consideration (2)</w:t>
            </w:r>
          </w:p>
        </w:tc>
        <w:tc>
          <w:tcPr>
            <w:tcW w:w="12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2.4</w:t>
            </w: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2.4</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shd w:val="clear" w:color="auto" w:fill="CFF0FC"/>
          </w:tcPr>
          <w:p>
            <w:pPr>
              <w:ind w:left="840"/>
              <w:spacing w:after="0" w:line="113" w:lineRule="exact"/>
              <w:rPr>
                <w:sz w:val="20"/>
                <w:szCs w:val="20"/>
                <w:color w:val="auto"/>
              </w:rPr>
            </w:pPr>
            <w:r>
              <w:rPr>
                <w:rFonts w:ascii="Arial" w:cs="Arial" w:eastAsia="Arial" w:hAnsi="Arial"/>
                <w:sz w:val="10"/>
                <w:szCs w:val="10"/>
                <w:color w:val="auto"/>
                <w:w w:val="99"/>
              </w:rPr>
              <w:t>—</w:t>
            </w: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2.4</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000" w:type="dxa"/>
            <w:vAlign w:val="bottom"/>
          </w:tcPr>
          <w:p>
            <w:pPr>
              <w:spacing w:after="0" w:line="98" w:lineRule="exact"/>
              <w:rPr>
                <w:sz w:val="20"/>
                <w:szCs w:val="20"/>
                <w:color w:val="auto"/>
              </w:rPr>
            </w:pPr>
            <w:r>
              <w:rPr>
                <w:rFonts w:ascii="Arial" w:cs="Arial" w:eastAsia="Arial" w:hAnsi="Arial"/>
                <w:sz w:val="10"/>
                <w:szCs w:val="10"/>
                <w:b w:val="1"/>
                <w:bCs w:val="1"/>
                <w:color w:val="auto"/>
              </w:rPr>
              <w:t>Financial Instruments Recorded on Our</w:t>
            </w: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000" w:type="dxa"/>
            <w:vAlign w:val="bottom"/>
          </w:tcPr>
          <w:p>
            <w:pPr>
              <w:ind w:left="80"/>
              <w:spacing w:after="0"/>
              <w:rPr>
                <w:sz w:val="20"/>
                <w:szCs w:val="20"/>
                <w:color w:val="auto"/>
              </w:rPr>
            </w:pPr>
            <w:r>
              <w:rPr>
                <w:rFonts w:ascii="Arial" w:cs="Arial" w:eastAsia="Arial" w:hAnsi="Arial"/>
                <w:sz w:val="10"/>
                <w:szCs w:val="10"/>
                <w:b w:val="1"/>
                <w:bCs w:val="1"/>
                <w:color w:val="auto"/>
              </w:rPr>
              <w:t>Consolidated Balance Sheets at Carrying Value:</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00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Cash and cash equivalents</w:t>
            </w:r>
          </w:p>
        </w:tc>
        <w:tc>
          <w:tcPr>
            <w:tcW w:w="12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111.7</w:t>
            </w: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111.7</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shd w:val="clear" w:color="auto" w:fill="CFF0FC"/>
          </w:tcPr>
          <w:p>
            <w:pPr>
              <w:ind w:left="840"/>
              <w:spacing w:after="0" w:line="113" w:lineRule="exact"/>
              <w:rPr>
                <w:sz w:val="20"/>
                <w:szCs w:val="20"/>
                <w:color w:val="auto"/>
              </w:rPr>
            </w:pPr>
            <w:r>
              <w:rPr>
                <w:rFonts w:ascii="Arial" w:cs="Arial" w:eastAsia="Arial" w:hAnsi="Arial"/>
                <w:sz w:val="10"/>
                <w:szCs w:val="10"/>
                <w:color w:val="auto"/>
                <w:w w:val="99"/>
              </w:rPr>
              <w:t>—</w:t>
            </w: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5000" w:type="dxa"/>
            <w:vAlign w:val="bottom"/>
          </w:tcPr>
          <w:p>
            <w:pPr>
              <w:spacing w:after="0" w:line="113" w:lineRule="exact"/>
              <w:rPr>
                <w:sz w:val="20"/>
                <w:szCs w:val="20"/>
                <w:color w:val="auto"/>
              </w:rPr>
            </w:pPr>
            <w:r>
              <w:rPr>
                <w:rFonts w:ascii="Arial" w:cs="Arial" w:eastAsia="Arial" w:hAnsi="Arial"/>
                <w:sz w:val="10"/>
                <w:szCs w:val="10"/>
                <w:color w:val="auto"/>
              </w:rPr>
              <w:t>TRP Revolver</w:t>
            </w:r>
          </w:p>
        </w:tc>
        <w:tc>
          <w:tcPr>
            <w:tcW w:w="12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670.0</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670.0</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ind w:left="840"/>
              <w:spacing w:after="0" w:line="113" w:lineRule="exact"/>
              <w:rPr>
                <w:sz w:val="20"/>
                <w:szCs w:val="20"/>
                <w:color w:val="auto"/>
              </w:rPr>
            </w:pPr>
            <w:r>
              <w:rPr>
                <w:rFonts w:ascii="Arial" w:cs="Arial" w:eastAsia="Arial" w:hAnsi="Arial"/>
                <w:sz w:val="10"/>
                <w:szCs w:val="10"/>
                <w:color w:val="auto"/>
                <w:w w:val="99"/>
              </w:rPr>
              <w:t>—</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670.0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500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Senior unsecured notes</w:t>
            </w:r>
          </w:p>
        </w:tc>
        <w:tc>
          <w:tcPr>
            <w:tcW w:w="12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6,028.5</w:t>
            </w: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6,268.9</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shd w:val="clear" w:color="auto" w:fill="CFF0FC"/>
          </w:tcPr>
          <w:p>
            <w:pPr>
              <w:ind w:left="840"/>
              <w:spacing w:after="0" w:line="113" w:lineRule="exact"/>
              <w:rPr>
                <w:sz w:val="20"/>
                <w:szCs w:val="20"/>
                <w:color w:val="auto"/>
              </w:rPr>
            </w:pPr>
            <w:r>
              <w:rPr>
                <w:rFonts w:ascii="Arial" w:cs="Arial" w:eastAsia="Arial" w:hAnsi="Arial"/>
                <w:sz w:val="10"/>
                <w:szCs w:val="10"/>
                <w:color w:val="auto"/>
                <w:w w:val="99"/>
              </w:rPr>
              <w:t>—</w:t>
            </w: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6,268.9</w:t>
            </w: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7"/>
        </w:trPr>
        <w:tc>
          <w:tcPr>
            <w:tcW w:w="5000" w:type="dxa"/>
            <w:vAlign w:val="bottom"/>
          </w:tcPr>
          <w:p>
            <w:pPr>
              <w:spacing w:after="0"/>
              <w:rPr>
                <w:sz w:val="20"/>
                <w:szCs w:val="20"/>
                <w:color w:val="auto"/>
              </w:rPr>
            </w:pPr>
            <w:r>
              <w:rPr>
                <w:rFonts w:ascii="Arial" w:cs="Arial" w:eastAsia="Arial" w:hAnsi="Arial"/>
                <w:sz w:val="10"/>
                <w:szCs w:val="10"/>
                <w:color w:val="auto"/>
              </w:rPr>
              <w:t>Accounts receivable securitization facility</w:t>
            </w: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307.6</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307.6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ind w:left="840"/>
              <w:spacing w:after="0"/>
              <w:rPr>
                <w:sz w:val="20"/>
                <w:szCs w:val="20"/>
                <w:color w:val="auto"/>
              </w:rPr>
            </w:pPr>
            <w:r>
              <w:rPr>
                <w:rFonts w:ascii="Arial" w:cs="Arial" w:eastAsia="Arial" w:hAnsi="Arial"/>
                <w:sz w:val="10"/>
                <w:szCs w:val="10"/>
                <w:color w:val="auto"/>
                <w:w w:val="99"/>
              </w:rPr>
              <w: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307.6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48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December 31, 2018</w:t>
            </w: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Carrying Value</w:t>
            </w: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3"/>
          </w:tcPr>
          <w:p>
            <w:pPr>
              <w:jc w:val="right"/>
              <w:ind w:right="90"/>
              <w:spacing w:after="0" w:line="103" w:lineRule="exact"/>
              <w:rPr>
                <w:sz w:val="20"/>
                <w:szCs w:val="20"/>
                <w:color w:val="auto"/>
              </w:rPr>
            </w:pPr>
            <w:r>
              <w:rPr>
                <w:rFonts w:ascii="Arial" w:cs="Arial" w:eastAsia="Arial" w:hAnsi="Arial"/>
                <w:sz w:val="10"/>
                <w:szCs w:val="10"/>
                <w:b w:val="1"/>
                <w:bCs w:val="1"/>
                <w:color w:val="auto"/>
              </w:rPr>
              <w:t>Fair Value</w:t>
            </w: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gridSpan w:val="2"/>
          </w:tcPr>
          <w:p>
            <w:pPr>
              <w:ind w:left="160"/>
              <w:spacing w:after="0" w:line="103" w:lineRule="exact"/>
              <w:rPr>
                <w:sz w:val="20"/>
                <w:szCs w:val="20"/>
                <w:color w:val="auto"/>
              </w:rPr>
            </w:pPr>
            <w:r>
              <w:rPr>
                <w:rFonts w:ascii="Arial" w:cs="Arial" w:eastAsia="Arial" w:hAnsi="Arial"/>
                <w:sz w:val="10"/>
                <w:szCs w:val="10"/>
                <w:b w:val="1"/>
                <w:bCs w:val="1"/>
                <w:color w:val="auto"/>
              </w:rPr>
              <w:t>Total</w:t>
            </w:r>
          </w:p>
        </w:tc>
        <w:tc>
          <w:tcPr>
            <w:tcW w:w="180" w:type="dxa"/>
            <w:vAlign w:val="bottom"/>
          </w:tcPr>
          <w:p>
            <w:pPr>
              <w:spacing w:after="0"/>
              <w:rPr>
                <w:sz w:val="8"/>
                <w:szCs w:val="8"/>
                <w:color w:val="auto"/>
              </w:rPr>
            </w:pPr>
          </w:p>
        </w:tc>
        <w:tc>
          <w:tcPr>
            <w:tcW w:w="1120" w:type="dxa"/>
            <w:vAlign w:val="bottom"/>
            <w:gridSpan w:val="2"/>
          </w:tcPr>
          <w:p>
            <w:pPr>
              <w:ind w:left="260"/>
              <w:spacing w:after="0" w:line="103" w:lineRule="exact"/>
              <w:rPr>
                <w:sz w:val="20"/>
                <w:szCs w:val="20"/>
                <w:color w:val="auto"/>
              </w:rPr>
            </w:pPr>
            <w:r>
              <w:rPr>
                <w:rFonts w:ascii="Arial" w:cs="Arial" w:eastAsia="Arial" w:hAnsi="Arial"/>
                <w:sz w:val="10"/>
                <w:szCs w:val="10"/>
                <w:b w:val="1"/>
                <w:bCs w:val="1"/>
                <w:color w:val="auto"/>
              </w:rPr>
              <w:t>Level 1</w:t>
            </w:r>
          </w:p>
        </w:tc>
        <w:tc>
          <w:tcPr>
            <w:tcW w:w="320" w:type="dxa"/>
            <w:vAlign w:val="bottom"/>
          </w:tcPr>
          <w:p>
            <w:pPr>
              <w:spacing w:after="0"/>
              <w:rPr>
                <w:sz w:val="8"/>
                <w:szCs w:val="8"/>
                <w:color w:val="auto"/>
              </w:rPr>
            </w:pPr>
          </w:p>
        </w:tc>
        <w:tc>
          <w:tcPr>
            <w:tcW w:w="1000" w:type="dxa"/>
            <w:vAlign w:val="bottom"/>
            <w:gridSpan w:val="2"/>
          </w:tcPr>
          <w:p>
            <w:pPr>
              <w:ind w:left="140"/>
              <w:spacing w:after="0" w:line="103" w:lineRule="exact"/>
              <w:rPr>
                <w:sz w:val="20"/>
                <w:szCs w:val="20"/>
                <w:color w:val="auto"/>
              </w:rPr>
            </w:pPr>
            <w:r>
              <w:rPr>
                <w:rFonts w:ascii="Arial" w:cs="Arial" w:eastAsia="Arial" w:hAnsi="Arial"/>
                <w:sz w:val="10"/>
                <w:szCs w:val="10"/>
                <w:b w:val="1"/>
                <w:bCs w:val="1"/>
                <w:color w:val="auto"/>
              </w:rPr>
              <w:t>Level 2</w:t>
            </w:r>
          </w:p>
        </w:tc>
        <w:tc>
          <w:tcPr>
            <w:tcW w:w="320" w:type="dxa"/>
            <w:vAlign w:val="bottom"/>
          </w:tcPr>
          <w:p>
            <w:pPr>
              <w:spacing w:after="0"/>
              <w:rPr>
                <w:sz w:val="8"/>
                <w:szCs w:val="8"/>
                <w:color w:val="auto"/>
              </w:rPr>
            </w:pPr>
          </w:p>
        </w:tc>
        <w:tc>
          <w:tcPr>
            <w:tcW w:w="900" w:type="dxa"/>
            <w:vAlign w:val="bottom"/>
          </w:tcPr>
          <w:p>
            <w:pPr>
              <w:jc w:val="right"/>
              <w:ind w:right="410"/>
              <w:spacing w:after="0" w:line="103" w:lineRule="exact"/>
              <w:rPr>
                <w:sz w:val="20"/>
                <w:szCs w:val="20"/>
                <w:color w:val="auto"/>
              </w:rPr>
            </w:pPr>
            <w:r>
              <w:rPr>
                <w:rFonts w:ascii="Arial" w:cs="Arial" w:eastAsia="Arial" w:hAnsi="Arial"/>
                <w:sz w:val="10"/>
                <w:szCs w:val="10"/>
                <w:b w:val="1"/>
                <w:bCs w:val="1"/>
                <w:color w:val="auto"/>
              </w:rPr>
              <w:t>Level 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880" w:type="dxa"/>
            <w:vAlign w:val="bottom"/>
            <w:tcBorders>
              <w:top w:val="single" w:sz="8" w:color="CFF0FC"/>
            </w:tcBorders>
            <w:shd w:val="clear" w:color="auto" w:fill="CFF0FC"/>
          </w:tcPr>
          <w:p>
            <w:pPr>
              <w:spacing w:after="0" w:line="88" w:lineRule="exact"/>
              <w:rPr>
                <w:sz w:val="20"/>
                <w:szCs w:val="20"/>
                <w:color w:val="auto"/>
              </w:rPr>
            </w:pPr>
            <w:r>
              <w:rPr>
                <w:rFonts w:ascii="Arial" w:cs="Arial" w:eastAsia="Arial" w:hAnsi="Arial"/>
                <w:sz w:val="10"/>
                <w:szCs w:val="10"/>
                <w:b w:val="1"/>
                <w:bCs w:val="1"/>
                <w:color w:val="auto"/>
              </w:rPr>
              <w:t>Financial Instruments Recorded on Our</w:t>
            </w:r>
          </w:p>
        </w:tc>
        <w:tc>
          <w:tcPr>
            <w:tcW w:w="240" w:type="dxa"/>
            <w:vAlign w:val="bottom"/>
            <w:tcBorders>
              <w:top w:val="single" w:sz="8" w:color="auto"/>
            </w:tcBorders>
            <w:shd w:val="clear" w:color="auto" w:fill="CFF0FC"/>
          </w:tcPr>
          <w:p>
            <w:pPr>
              <w:spacing w:after="0"/>
              <w:rPr>
                <w:sz w:val="7"/>
                <w:szCs w:val="7"/>
                <w:color w:val="auto"/>
              </w:rPr>
            </w:pPr>
          </w:p>
        </w:tc>
        <w:tc>
          <w:tcPr>
            <w:tcW w:w="96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320" w:type="dxa"/>
            <w:vAlign w:val="bottom"/>
            <w:tcBorders>
              <w:top w:val="single" w:sz="8" w:color="auto"/>
            </w:tcBorders>
            <w:shd w:val="clear" w:color="auto" w:fill="CFF0FC"/>
          </w:tcPr>
          <w:p>
            <w:pPr>
              <w:spacing w:after="0"/>
              <w:rPr>
                <w:sz w:val="7"/>
                <w:szCs w:val="7"/>
                <w:color w:val="auto"/>
              </w:rPr>
            </w:pPr>
          </w:p>
        </w:tc>
        <w:tc>
          <w:tcPr>
            <w:tcW w:w="88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180" w:type="dxa"/>
            <w:vAlign w:val="bottom"/>
            <w:tcBorders>
              <w:top w:val="single" w:sz="8" w:color="auto"/>
            </w:tcBorders>
            <w:shd w:val="clear" w:color="auto" w:fill="CFF0FC"/>
          </w:tcPr>
          <w:p>
            <w:pPr>
              <w:spacing w:after="0"/>
              <w:rPr>
                <w:sz w:val="7"/>
                <w:szCs w:val="7"/>
                <w:color w:val="auto"/>
              </w:rPr>
            </w:pPr>
          </w:p>
        </w:tc>
        <w:tc>
          <w:tcPr>
            <w:tcW w:w="1020" w:type="dxa"/>
            <w:vAlign w:val="bottom"/>
            <w:tcBorders>
              <w:top w:val="single" w:sz="8" w:color="auto"/>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320" w:type="dxa"/>
            <w:vAlign w:val="bottom"/>
            <w:tcBorders>
              <w:top w:val="single" w:sz="8" w:color="auto"/>
            </w:tcBorders>
            <w:shd w:val="clear" w:color="auto" w:fill="CFF0FC"/>
          </w:tcPr>
          <w:p>
            <w:pPr>
              <w:spacing w:after="0"/>
              <w:rPr>
                <w:sz w:val="7"/>
                <w:szCs w:val="7"/>
                <w:color w:val="auto"/>
              </w:rPr>
            </w:pPr>
          </w:p>
        </w:tc>
        <w:tc>
          <w:tcPr>
            <w:tcW w:w="900" w:type="dxa"/>
            <w:vAlign w:val="bottom"/>
            <w:tcBorders>
              <w:top w:val="single" w:sz="8" w:color="auto"/>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320" w:type="dxa"/>
            <w:vAlign w:val="bottom"/>
            <w:tcBorders>
              <w:top w:val="single" w:sz="8" w:color="auto"/>
            </w:tcBorders>
            <w:shd w:val="clear" w:color="auto" w:fill="CFF0FC"/>
          </w:tcPr>
          <w:p>
            <w:pPr>
              <w:spacing w:after="0"/>
              <w:rPr>
                <w:sz w:val="7"/>
                <w:szCs w:val="7"/>
                <w:color w:val="auto"/>
              </w:rPr>
            </w:pPr>
          </w:p>
        </w:tc>
        <w:tc>
          <w:tcPr>
            <w:tcW w:w="90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880" w:type="dxa"/>
            <w:vAlign w:val="bottom"/>
            <w:shd w:val="clear" w:color="auto" w:fill="CFF0FC"/>
          </w:tcPr>
          <w:p>
            <w:pPr>
              <w:ind w:left="80"/>
              <w:spacing w:after="0"/>
              <w:rPr>
                <w:sz w:val="20"/>
                <w:szCs w:val="20"/>
                <w:color w:val="auto"/>
              </w:rPr>
            </w:pPr>
            <w:r>
              <w:rPr>
                <w:rFonts w:ascii="Arial" w:cs="Arial" w:eastAsia="Arial" w:hAnsi="Arial"/>
                <w:sz w:val="10"/>
                <w:szCs w:val="10"/>
                <w:b w:val="1"/>
                <w:bCs w:val="1"/>
                <w:color w:val="auto"/>
              </w:rPr>
              <w:t>Consolidated Balance Sheets at Fair Value:</w:t>
            </w:r>
          </w:p>
        </w:tc>
        <w:tc>
          <w:tcPr>
            <w:tcW w:w="2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880" w:type="dxa"/>
            <w:vAlign w:val="bottom"/>
          </w:tcPr>
          <w:p>
            <w:pPr>
              <w:spacing w:after="0" w:line="113" w:lineRule="exact"/>
              <w:rPr>
                <w:sz w:val="20"/>
                <w:szCs w:val="20"/>
                <w:color w:val="auto"/>
              </w:rPr>
            </w:pPr>
            <w:r>
              <w:rPr>
                <w:rFonts w:ascii="Arial" w:cs="Arial" w:eastAsia="Arial" w:hAnsi="Arial"/>
                <w:sz w:val="10"/>
                <w:szCs w:val="10"/>
                <w:color w:val="auto"/>
              </w:rPr>
              <w:t>Assets from commodity derivative contracts (1)</w:t>
            </w:r>
          </w:p>
        </w:tc>
        <w:tc>
          <w:tcPr>
            <w:tcW w:w="240" w:type="dxa"/>
            <w:vAlign w:val="bottom"/>
          </w:tcPr>
          <w:p>
            <w:pPr>
              <w:jc w:val="right"/>
              <w:ind w:right="10"/>
              <w:spacing w:after="0" w:line="113" w:lineRule="exact"/>
              <w:rPr>
                <w:sz w:val="20"/>
                <w:szCs w:val="20"/>
                <w:color w:val="auto"/>
              </w:rPr>
            </w:pPr>
            <w:r>
              <w:rPr>
                <w:rFonts w:ascii="Arial" w:cs="Arial" w:eastAsia="Arial" w:hAnsi="Arial"/>
                <w:sz w:val="10"/>
                <w:szCs w:val="10"/>
                <w:color w:val="auto"/>
              </w:rPr>
              <w:t>$</w:t>
            </w: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144.4</w:t>
            </w:r>
          </w:p>
        </w:tc>
        <w:tc>
          <w:tcPr>
            <w:tcW w:w="120" w:type="dxa"/>
            <w:vAlign w:val="bottom"/>
          </w:tcPr>
          <w:p>
            <w:pPr>
              <w:spacing w:after="0"/>
              <w:rPr>
                <w:sz w:val="9"/>
                <w:szCs w:val="9"/>
                <w:color w:val="auto"/>
              </w:rPr>
            </w:pPr>
          </w:p>
        </w:tc>
        <w:tc>
          <w:tcPr>
            <w:tcW w:w="320" w:type="dxa"/>
            <w:vAlign w:val="bottom"/>
          </w:tcPr>
          <w:p>
            <w:pPr>
              <w:jc w:val="right"/>
              <w:ind w:right="110"/>
              <w:spacing w:after="0" w:line="113" w:lineRule="exact"/>
              <w:rPr>
                <w:sz w:val="20"/>
                <w:szCs w:val="20"/>
                <w:color w:val="auto"/>
              </w:rPr>
            </w:pPr>
            <w:r>
              <w:rPr>
                <w:rFonts w:ascii="Arial" w:cs="Arial" w:eastAsia="Arial" w:hAnsi="Arial"/>
                <w:sz w:val="10"/>
                <w:szCs w:val="10"/>
                <w:color w:val="auto"/>
              </w:rPr>
              <w:t>$</w:t>
            </w:r>
          </w:p>
        </w:tc>
        <w:tc>
          <w:tcPr>
            <w:tcW w:w="880" w:type="dxa"/>
            <w:vAlign w:val="bottom"/>
          </w:tcPr>
          <w:p>
            <w:pPr>
              <w:jc w:val="right"/>
              <w:spacing w:after="0" w:line="113" w:lineRule="exact"/>
              <w:rPr>
                <w:sz w:val="20"/>
                <w:szCs w:val="20"/>
                <w:color w:val="auto"/>
              </w:rPr>
            </w:pPr>
            <w:r>
              <w:rPr>
                <w:rFonts w:ascii="Arial" w:cs="Arial" w:eastAsia="Arial" w:hAnsi="Arial"/>
                <w:sz w:val="10"/>
                <w:szCs w:val="10"/>
                <w:color w:val="auto"/>
              </w:rPr>
              <w:t>144.4</w:t>
            </w:r>
          </w:p>
        </w:tc>
        <w:tc>
          <w:tcPr>
            <w:tcW w:w="12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120" w:type="dxa"/>
            <w:vAlign w:val="bottom"/>
            <w:gridSpan w:val="2"/>
          </w:tcPr>
          <w:p>
            <w:pPr>
              <w:ind w:left="900"/>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jc w:val="right"/>
              <w:ind w:right="90"/>
              <w:spacing w:after="0" w:line="113" w:lineRule="exact"/>
              <w:rPr>
                <w:sz w:val="20"/>
                <w:szCs w:val="20"/>
                <w:color w:val="auto"/>
              </w:rPr>
            </w:pPr>
            <w:r>
              <w:rPr>
                <w:rFonts w:ascii="Arial" w:cs="Arial" w:eastAsia="Arial" w:hAnsi="Arial"/>
                <w:sz w:val="10"/>
                <w:szCs w:val="10"/>
                <w:color w:val="auto"/>
              </w:rPr>
              <w:t>$</w:t>
            </w:r>
          </w:p>
        </w:tc>
        <w:tc>
          <w:tcPr>
            <w:tcW w:w="900" w:type="dxa"/>
            <w:vAlign w:val="bottom"/>
          </w:tcPr>
          <w:p>
            <w:pPr>
              <w:jc w:val="right"/>
              <w:spacing w:after="0" w:line="113" w:lineRule="exact"/>
              <w:rPr>
                <w:sz w:val="20"/>
                <w:szCs w:val="20"/>
                <w:color w:val="auto"/>
              </w:rPr>
            </w:pPr>
            <w:r>
              <w:rPr>
                <w:rFonts w:ascii="Arial" w:cs="Arial" w:eastAsia="Arial" w:hAnsi="Arial"/>
                <w:sz w:val="10"/>
                <w:szCs w:val="10"/>
                <w:color w:val="auto"/>
              </w:rPr>
              <w:t>137.5</w:t>
            </w:r>
          </w:p>
        </w:tc>
        <w:tc>
          <w:tcPr>
            <w:tcW w:w="100" w:type="dxa"/>
            <w:vAlign w:val="bottom"/>
          </w:tcPr>
          <w:p>
            <w:pPr>
              <w:spacing w:after="0"/>
              <w:rPr>
                <w:sz w:val="9"/>
                <w:szCs w:val="9"/>
                <w:color w:val="auto"/>
              </w:rPr>
            </w:pPr>
          </w:p>
        </w:tc>
        <w:tc>
          <w:tcPr>
            <w:tcW w:w="320" w:type="dxa"/>
            <w:vAlign w:val="bottom"/>
          </w:tcPr>
          <w:p>
            <w:pPr>
              <w:jc w:val="right"/>
              <w:ind w:right="90"/>
              <w:spacing w:after="0" w:line="113" w:lineRule="exact"/>
              <w:rPr>
                <w:sz w:val="20"/>
                <w:szCs w:val="20"/>
                <w:color w:val="auto"/>
              </w:rPr>
            </w:pPr>
            <w:r>
              <w:rPr>
                <w:rFonts w:ascii="Arial" w:cs="Arial" w:eastAsia="Arial" w:hAnsi="Arial"/>
                <w:sz w:val="10"/>
                <w:szCs w:val="10"/>
                <w:color w:val="auto"/>
              </w:rPr>
              <w:t>$</w:t>
            </w:r>
          </w:p>
        </w:tc>
        <w:tc>
          <w:tcPr>
            <w:tcW w:w="900" w:type="dxa"/>
            <w:vAlign w:val="bottom"/>
          </w:tcPr>
          <w:p>
            <w:pPr>
              <w:jc w:val="right"/>
              <w:spacing w:after="0" w:line="113" w:lineRule="exact"/>
              <w:rPr>
                <w:sz w:val="20"/>
                <w:szCs w:val="20"/>
                <w:color w:val="auto"/>
              </w:rPr>
            </w:pPr>
            <w:r>
              <w:rPr>
                <w:rFonts w:ascii="Arial" w:cs="Arial" w:eastAsia="Arial" w:hAnsi="Arial"/>
                <w:sz w:val="10"/>
                <w:szCs w:val="10"/>
                <w:color w:val="auto"/>
              </w:rPr>
              <w:t>6.9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8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Liabilities from commodity derivative contracts (1)</w:t>
            </w:r>
          </w:p>
        </w:tc>
        <w:tc>
          <w:tcPr>
            <w:tcW w:w="24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31.7</w:t>
            </w: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31.7</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20" w:type="dxa"/>
            <w:vAlign w:val="bottom"/>
            <w:gridSpan w:val="2"/>
            <w:shd w:val="clear" w:color="auto" w:fill="CFF0FC"/>
          </w:tcPr>
          <w:p>
            <w:pPr>
              <w:ind w:left="900"/>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31.3</w:t>
            </w: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0.4</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880" w:type="dxa"/>
            <w:vAlign w:val="bottom"/>
          </w:tcPr>
          <w:p>
            <w:pPr>
              <w:spacing w:after="0" w:line="113" w:lineRule="exact"/>
              <w:rPr>
                <w:sz w:val="20"/>
                <w:szCs w:val="20"/>
                <w:color w:val="auto"/>
              </w:rPr>
            </w:pPr>
            <w:r>
              <w:rPr>
                <w:rFonts w:ascii="Arial" w:cs="Arial" w:eastAsia="Arial" w:hAnsi="Arial"/>
                <w:sz w:val="10"/>
                <w:szCs w:val="10"/>
                <w:color w:val="auto"/>
              </w:rPr>
              <w:t>Permian Acquisition contingent consideration (3)</w:t>
            </w:r>
          </w:p>
        </w:tc>
        <w:tc>
          <w:tcPr>
            <w:tcW w:w="24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308.2</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Arial" w:cs="Arial" w:eastAsia="Arial" w:hAnsi="Arial"/>
                <w:sz w:val="10"/>
                <w:szCs w:val="10"/>
                <w:color w:val="auto"/>
              </w:rPr>
              <w:t>308.2</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tcPr>
          <w:p>
            <w:pPr>
              <w:ind w:left="900"/>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100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Arial" w:cs="Arial" w:eastAsia="Arial" w:hAnsi="Arial"/>
                <w:sz w:val="10"/>
                <w:szCs w:val="10"/>
                <w:color w:val="auto"/>
              </w:rPr>
              <w:t>308.2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8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TPL contingent consideration (2)</w:t>
            </w:r>
          </w:p>
        </w:tc>
        <w:tc>
          <w:tcPr>
            <w:tcW w:w="24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2.4</w:t>
            </w: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2.4</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20" w:type="dxa"/>
            <w:vAlign w:val="bottom"/>
            <w:gridSpan w:val="2"/>
            <w:shd w:val="clear" w:color="auto" w:fill="CFF0FC"/>
          </w:tcPr>
          <w:p>
            <w:pPr>
              <w:ind w:left="900"/>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2.4</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880" w:type="dxa"/>
            <w:vAlign w:val="bottom"/>
          </w:tcPr>
          <w:p>
            <w:pPr>
              <w:spacing w:after="0" w:line="98" w:lineRule="exact"/>
              <w:rPr>
                <w:sz w:val="20"/>
                <w:szCs w:val="20"/>
                <w:color w:val="auto"/>
              </w:rPr>
            </w:pPr>
            <w:r>
              <w:rPr>
                <w:rFonts w:ascii="Arial" w:cs="Arial" w:eastAsia="Arial" w:hAnsi="Arial"/>
                <w:sz w:val="10"/>
                <w:szCs w:val="10"/>
                <w:b w:val="1"/>
                <w:bCs w:val="1"/>
                <w:color w:val="auto"/>
              </w:rPr>
              <w:t>Financial Instruments Recorded on Our</w:t>
            </w: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880" w:type="dxa"/>
            <w:vAlign w:val="bottom"/>
          </w:tcPr>
          <w:p>
            <w:pPr>
              <w:ind w:left="80"/>
              <w:spacing w:after="0"/>
              <w:rPr>
                <w:sz w:val="20"/>
                <w:szCs w:val="20"/>
                <w:color w:val="auto"/>
              </w:rPr>
            </w:pPr>
            <w:r>
              <w:rPr>
                <w:rFonts w:ascii="Arial" w:cs="Arial" w:eastAsia="Arial" w:hAnsi="Arial"/>
                <w:sz w:val="10"/>
                <w:szCs w:val="10"/>
                <w:b w:val="1"/>
                <w:bCs w:val="1"/>
                <w:color w:val="auto"/>
              </w:rPr>
              <w:t>Consolidated Balance Sheets at Carrying Value:</w:t>
            </w: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8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Cash and cash equivalents</w:t>
            </w:r>
          </w:p>
        </w:tc>
        <w:tc>
          <w:tcPr>
            <w:tcW w:w="24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203.3</w:t>
            </w: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203.3</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20" w:type="dxa"/>
            <w:vAlign w:val="bottom"/>
            <w:gridSpan w:val="2"/>
            <w:shd w:val="clear" w:color="auto" w:fill="CFF0FC"/>
          </w:tcPr>
          <w:p>
            <w:pPr>
              <w:ind w:left="900"/>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4880" w:type="dxa"/>
            <w:vAlign w:val="bottom"/>
          </w:tcPr>
          <w:p>
            <w:pPr>
              <w:spacing w:after="0" w:line="113" w:lineRule="exact"/>
              <w:rPr>
                <w:sz w:val="20"/>
                <w:szCs w:val="20"/>
                <w:color w:val="auto"/>
              </w:rPr>
            </w:pPr>
            <w:r>
              <w:rPr>
                <w:rFonts w:ascii="Arial" w:cs="Arial" w:eastAsia="Arial" w:hAnsi="Arial"/>
                <w:sz w:val="10"/>
                <w:szCs w:val="10"/>
                <w:color w:val="auto"/>
              </w:rPr>
              <w:t>TRP Revolver</w:t>
            </w:r>
          </w:p>
        </w:tc>
        <w:tc>
          <w:tcPr>
            <w:tcW w:w="24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700.0</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Arial" w:cs="Arial" w:eastAsia="Arial" w:hAnsi="Arial"/>
                <w:sz w:val="10"/>
                <w:szCs w:val="10"/>
                <w:color w:val="auto"/>
              </w:rPr>
              <w:t>700.0</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tcPr>
          <w:p>
            <w:pPr>
              <w:ind w:left="900"/>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Arial" w:cs="Arial" w:eastAsia="Arial" w:hAnsi="Arial"/>
                <w:sz w:val="10"/>
                <w:szCs w:val="10"/>
                <w:color w:val="auto"/>
              </w:rPr>
              <w:t>700.0</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48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Senior unsecured notes</w:t>
            </w:r>
          </w:p>
        </w:tc>
        <w:tc>
          <w:tcPr>
            <w:tcW w:w="240" w:type="dxa"/>
            <w:vAlign w:val="bottom"/>
            <w:shd w:val="clear" w:color="auto" w:fill="CFF0FC"/>
          </w:tcPr>
          <w:p>
            <w:pPr>
              <w:spacing w:after="0"/>
              <w:rPr>
                <w:sz w:val="9"/>
                <w:szCs w:val="9"/>
                <w:color w:val="auto"/>
              </w:rPr>
            </w:pP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5,277.9</w:t>
            </w: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5,088.9</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20" w:type="dxa"/>
            <w:vAlign w:val="bottom"/>
            <w:gridSpan w:val="2"/>
            <w:shd w:val="clear" w:color="auto" w:fill="CFF0FC"/>
          </w:tcPr>
          <w:p>
            <w:pPr>
              <w:ind w:left="900"/>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5,088.9</w:t>
            </w: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7"/>
        </w:trPr>
        <w:tc>
          <w:tcPr>
            <w:tcW w:w="4880" w:type="dxa"/>
            <w:vAlign w:val="bottom"/>
          </w:tcPr>
          <w:p>
            <w:pPr>
              <w:spacing w:after="0"/>
              <w:rPr>
                <w:sz w:val="20"/>
                <w:szCs w:val="20"/>
                <w:color w:val="auto"/>
              </w:rPr>
            </w:pPr>
            <w:r>
              <w:rPr>
                <w:rFonts w:ascii="Arial" w:cs="Arial" w:eastAsia="Arial" w:hAnsi="Arial"/>
                <w:sz w:val="10"/>
                <w:szCs w:val="10"/>
                <w:color w:val="auto"/>
              </w:rPr>
              <w:t>Accounts receivable securitization facility</w:t>
            </w:r>
          </w:p>
        </w:tc>
        <w:tc>
          <w:tcPr>
            <w:tcW w:w="2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280.0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280.0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ind w:left="9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280.0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5" w:right="20" w:hanging="385"/>
        <w:spacing w:after="0" w:line="221" w:lineRule="auto"/>
        <w:tabs>
          <w:tab w:leader="none" w:pos="385" w:val="left"/>
        </w:tabs>
        <w:numPr>
          <w:ilvl w:val="0"/>
          <w:numId w:val="12"/>
        </w:numPr>
        <w:rPr>
          <w:rFonts w:ascii="Arial" w:cs="Arial" w:eastAsia="Arial" w:hAnsi="Arial"/>
          <w:sz w:val="10"/>
          <w:szCs w:val="10"/>
          <w:color w:val="auto"/>
        </w:rPr>
      </w:pPr>
      <w:r>
        <w:rPr>
          <w:rFonts w:ascii="Arial" w:cs="Arial" w:eastAsia="Arial" w:hAnsi="Arial"/>
          <w:sz w:val="10"/>
          <w:szCs w:val="10"/>
          <w:color w:val="auto"/>
        </w:rPr>
        <w:t>The fair value of derivative contracts in this table is presented on a different basis than the Consolidated Balance Sheets presentation as disclosed in Note 13– Derivative Instruments and Hedging Activities. The above fair values reflect the total value of each derivative contract taken as a whole, whereas the Consolidated Balance Sheets presentation is based on the individual maturity dates of estimated future settlements. As such, an individual contract could have both an asset and liability position when segregated into its current and long-term portions for Consolidated Balance Sheets classification purposes.</w:t>
      </w:r>
    </w:p>
    <w:p>
      <w:pPr>
        <w:ind w:left="385" w:hanging="385"/>
        <w:spacing w:after="0" w:line="215" w:lineRule="auto"/>
        <w:tabs>
          <w:tab w:leader="none" w:pos="385" w:val="left"/>
        </w:tabs>
        <w:numPr>
          <w:ilvl w:val="0"/>
          <w:numId w:val="12"/>
        </w:numPr>
        <w:rPr>
          <w:rFonts w:ascii="Arial" w:cs="Arial" w:eastAsia="Arial" w:hAnsi="Arial"/>
          <w:sz w:val="10"/>
          <w:szCs w:val="10"/>
          <w:color w:val="auto"/>
        </w:rPr>
      </w:pPr>
      <w:r>
        <w:rPr>
          <w:rFonts w:ascii="Arial" w:cs="Arial" w:eastAsia="Arial" w:hAnsi="Arial"/>
          <w:sz w:val="10"/>
          <w:szCs w:val="10"/>
          <w:color w:val="auto"/>
        </w:rPr>
        <w:t>We have a contingent consideration liability for TPL’s previous acquisition of a gas gathering system and related assets, which is carried at fair value.</w:t>
      </w:r>
    </w:p>
    <w:p>
      <w:pPr>
        <w:ind w:left="385" w:hanging="385"/>
        <w:spacing w:after="0"/>
        <w:tabs>
          <w:tab w:leader="none" w:pos="385" w:val="left"/>
        </w:tabs>
        <w:numPr>
          <w:ilvl w:val="0"/>
          <w:numId w:val="12"/>
        </w:numPr>
        <w:rPr>
          <w:rFonts w:ascii="Arial" w:cs="Arial" w:eastAsia="Arial" w:hAnsi="Arial"/>
          <w:sz w:val="10"/>
          <w:szCs w:val="10"/>
          <w:color w:val="auto"/>
        </w:rPr>
      </w:pPr>
      <w:r>
        <w:rPr>
          <w:rFonts w:ascii="Arial" w:cs="Arial" w:eastAsia="Arial" w:hAnsi="Arial"/>
          <w:sz w:val="10"/>
          <w:szCs w:val="10"/>
          <w:color w:val="auto"/>
        </w:rPr>
        <w:t>We have a contingent consideration liability related to the Permian Acquisition, which was carried at fair value as of December 31, 2018. See Note 8 – 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121285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12850" cy="5715"/>
                    </a:xfrm>
                    <a:prstGeom prst="rect">
                      <a:avLst/>
                    </a:prstGeom>
                    <a:noFill/>
                  </pic:spPr>
                </pic:pic>
              </a:graphicData>
            </a:graphic>
          </wp:anchor>
        </w:drawing>
      </w:r>
    </w:p>
    <w:p>
      <w:pPr>
        <w:spacing w:after="0" w:line="190" w:lineRule="exact"/>
        <w:rPr>
          <w:sz w:val="20"/>
          <w:szCs w:val="20"/>
          <w:color w:val="auto"/>
        </w:rPr>
      </w:pPr>
    </w:p>
    <w:p>
      <w:pPr>
        <w:ind w:left="5"/>
        <w:spacing w:after="0"/>
        <w:rPr>
          <w:sz w:val="20"/>
          <w:szCs w:val="20"/>
          <w:color w:val="auto"/>
        </w:rPr>
      </w:pPr>
      <w:r>
        <w:rPr>
          <w:rFonts w:ascii="Arial" w:cs="Arial" w:eastAsia="Arial" w:hAnsi="Arial"/>
          <w:sz w:val="13"/>
          <w:szCs w:val="13"/>
          <w:b w:val="1"/>
          <w:bCs w:val="1"/>
          <w:i w:val="1"/>
          <w:iCs w:val="1"/>
          <w:color w:val="auto"/>
        </w:rPr>
        <w:t>Additional Information Regarding Level 3 Fair Value Measurements Included on Our Consolidated Balance Sheets</w:t>
      </w:r>
    </w:p>
    <w:p>
      <w:pPr>
        <w:spacing w:after="0" w:line="76" w:lineRule="exact"/>
        <w:rPr>
          <w:sz w:val="20"/>
          <w:szCs w:val="20"/>
          <w:color w:val="auto"/>
        </w:rPr>
      </w:pPr>
    </w:p>
    <w:p>
      <w:pPr>
        <w:jc w:val="both"/>
        <w:ind w:left="5"/>
        <w:spacing w:after="0" w:line="248" w:lineRule="auto"/>
        <w:rPr>
          <w:sz w:val="20"/>
          <w:szCs w:val="20"/>
          <w:color w:val="auto"/>
        </w:rPr>
      </w:pPr>
      <w:r>
        <w:rPr>
          <w:rFonts w:ascii="Arial" w:cs="Arial" w:eastAsia="Arial" w:hAnsi="Arial"/>
          <w:sz w:val="13"/>
          <w:szCs w:val="13"/>
          <w:color w:val="auto"/>
        </w:rPr>
        <w:t>We reported certain of our swaps and option contracts at fair value using Level 3 inputs due to such derivatives not having observable market prices or implied volatilities for substantially the full term of the derivative asset or liability. For valuations that include both observable and unobservable inputs, if the unobservable input is determined to be significant to the overall inputs, the entire valuation is categorized in Level 3. This includes derivatives valued using indicative price quotations whose contract length extends into unobservable periods.</w:t>
      </w:r>
    </w:p>
    <w:p>
      <w:pPr>
        <w:spacing w:after="0" w:line="139" w:lineRule="exact"/>
        <w:rPr>
          <w:sz w:val="20"/>
          <w:szCs w:val="20"/>
          <w:color w:val="auto"/>
        </w:rPr>
      </w:pPr>
    </w:p>
    <w:p>
      <w:pPr>
        <w:jc w:val="both"/>
        <w:ind w:left="5"/>
        <w:spacing w:after="0" w:line="254" w:lineRule="auto"/>
        <w:rPr>
          <w:sz w:val="20"/>
          <w:szCs w:val="20"/>
          <w:color w:val="auto"/>
        </w:rPr>
      </w:pPr>
      <w:r>
        <w:rPr>
          <w:rFonts w:ascii="Arial" w:cs="Arial" w:eastAsia="Arial" w:hAnsi="Arial"/>
          <w:sz w:val="13"/>
          <w:szCs w:val="13"/>
          <w:color w:val="auto"/>
        </w:rPr>
        <w:t>The fair value of these swaps is determined using a discounted cash flow valuation technique based on a forward commodity basis curve. For these derivatives, the primary input to the valuation model is the forward commodity basis curve, which is based on observable or public data sources and extrapolated when observable prices are not available.</w:t>
      </w:r>
    </w:p>
    <w:p>
      <w:pPr>
        <w:spacing w:after="0" w:line="135" w:lineRule="exact"/>
        <w:rPr>
          <w:sz w:val="20"/>
          <w:szCs w:val="20"/>
          <w:color w:val="auto"/>
        </w:rPr>
      </w:pPr>
    </w:p>
    <w:p>
      <w:pPr>
        <w:jc w:val="both"/>
        <w:ind w:left="5"/>
        <w:spacing w:after="0" w:line="315" w:lineRule="auto"/>
        <w:rPr>
          <w:sz w:val="20"/>
          <w:szCs w:val="20"/>
          <w:color w:val="auto"/>
        </w:rPr>
      </w:pPr>
      <w:r>
        <w:rPr>
          <w:rFonts w:ascii="Arial" w:cs="Arial" w:eastAsia="Arial" w:hAnsi="Arial"/>
          <w:sz w:val="11"/>
          <w:szCs w:val="11"/>
          <w:color w:val="auto"/>
        </w:rPr>
        <w:t>As of March 31, 2019, we had 13 commodity swap and option contracts categorized as Level 3. The significant unobservable inputs used in the fair value measurements of our Level 3 derivatives are (i) the forward natural gas liquids pricing curves, for which a significant portion of the derivative’s term is beyond available forward pricing and (ii) implied volatilities, which are unobservable as a result of inactive natural gas liquids options trading. The change in the fair value of Level 3 derivatives associated with a 10% change in the forward basis curve where prices are not observable is immaterial.</w:t>
      </w:r>
    </w:p>
    <w:p>
      <w:pPr>
        <w:spacing w:after="0" w:line="104"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32536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432" w:right="199" w:bottom="1440" w:gutter="0" w:footer="0" w:header="0"/>
        </w:sectPr>
      </w:pPr>
    </w:p>
    <w:bookmarkStart w:id="23" w:name="page24"/>
    <w:bookmarkEnd w:id="23"/>
    <w:p>
      <w:pPr>
        <w:jc w:val="both"/>
        <w:ind w:left="5"/>
        <w:spacing w:after="0" w:line="244" w:lineRule="auto"/>
        <w:rPr>
          <w:sz w:val="20"/>
          <w:szCs w:val="20"/>
          <w:color w:val="auto"/>
        </w:rPr>
      </w:pPr>
      <w:r>
        <w:rPr>
          <w:rFonts w:ascii="Arial" w:cs="Arial" w:eastAsia="Arial" w:hAnsi="Arial"/>
          <w:sz w:val="13"/>
          <w:szCs w:val="13"/>
          <w:color w:val="auto"/>
        </w:rPr>
        <w:t>The fair value of the Permian Acquisition contingent consideration as of December 31, 2018, was determined using a Monte Carlo simulation model. Significant inputs used in the fair value measurement include expected gross margin (calculated in accordance with the terms of the purchase and sale agreements), term of the earn-out period, risk adjusted discount rate and volatility associated with the underlying assets. The Permian Acquisition contingent consideration earn-out period ended on February 28, 2019. The first earn-out payment due in May 2018 expired with no required payment. The second earn-out payment will be paid in May 2019 and is derived on a multiple of realized gross margin during the earn-out period from contracts that existed on March 1, 2017, in accordance with the terms of the purchase and sale agreements. As such, the carrying value of the Permian Acquisition contingent consideration as of March 31, 2019, approximates fair value, as with our other accounts payables. See Note 8 – Accounts Payable and Accrued Liabilities for additional discussion of the Permian Acquisition contingent consideration.</w:t>
      </w:r>
    </w:p>
    <w:p>
      <w:pPr>
        <w:spacing w:after="0" w:line="142" w:lineRule="exact"/>
        <w:rPr>
          <w:sz w:val="20"/>
          <w:szCs w:val="20"/>
          <w:color w:val="auto"/>
        </w:rPr>
      </w:pPr>
    </w:p>
    <w:p>
      <w:pPr>
        <w:jc w:val="both"/>
        <w:ind w:left="5"/>
        <w:spacing w:after="0" w:line="344" w:lineRule="auto"/>
        <w:rPr>
          <w:sz w:val="20"/>
          <w:szCs w:val="20"/>
          <w:color w:val="auto"/>
        </w:rPr>
      </w:pPr>
      <w:r>
        <w:rPr>
          <w:rFonts w:ascii="Arial" w:cs="Arial" w:eastAsia="Arial" w:hAnsi="Arial"/>
          <w:sz w:val="11"/>
          <w:szCs w:val="11"/>
          <w:color w:val="auto"/>
        </w:rPr>
        <w:t>The fair value of the TPL contingent consideration was determined using a probability-based model measuring the likelihood of meeting certain volumetric measures. The inputs for both models are not observable; therefore, the entire valuations of the contingent considerations are categorized in Level 3. Changes in the fair value of these liabilities are included in Other income (expense) in our Consolidated Statements of Operations.</w:t>
      </w:r>
    </w:p>
    <w:p>
      <w:pPr>
        <w:spacing w:after="0" w:line="89"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following table summarizes the changes in fair value of our financial instruments classified as Level 3 in the fair value hierarchy:</w:t>
      </w:r>
    </w:p>
    <w:p>
      <w:pPr>
        <w:spacing w:after="0" w:line="165" w:lineRule="exact"/>
        <w:rPr>
          <w:sz w:val="20"/>
          <w:szCs w:val="20"/>
          <w:color w:val="auto"/>
        </w:rPr>
      </w:pPr>
    </w:p>
    <w:tbl>
      <w:tblPr>
        <w:tblLayout w:type="fixed"/>
        <w:tblInd w:w="5" w:type="dxa"/>
        <w:tblCellMar>
          <w:top w:w="0" w:type="dxa"/>
          <w:left w:w="0" w:type="dxa"/>
          <w:bottom w:w="0" w:type="dxa"/>
          <w:right w:w="0" w:type="dxa"/>
        </w:tblCellMar>
      </w:tblPr>
      <w:tr>
        <w:trPr>
          <w:trHeight w:val="122"/>
        </w:trPr>
        <w:tc>
          <w:tcPr>
            <w:tcW w:w="6700" w:type="dxa"/>
            <w:vAlign w:val="bottom"/>
          </w:tcPr>
          <w:p>
            <w:pPr>
              <w:spacing w:after="0"/>
              <w:rPr>
                <w:sz w:val="10"/>
                <w:szCs w:val="10"/>
                <w:color w:val="auto"/>
              </w:rPr>
            </w:pPr>
          </w:p>
        </w:tc>
        <w:tc>
          <w:tcPr>
            <w:tcW w:w="1760" w:type="dxa"/>
            <w:vAlign w:val="bottom"/>
          </w:tcPr>
          <w:p>
            <w:pPr>
              <w:jc w:val="center"/>
              <w:ind w:left="350"/>
              <w:spacing w:after="0"/>
              <w:rPr>
                <w:sz w:val="20"/>
                <w:szCs w:val="20"/>
                <w:color w:val="auto"/>
              </w:rPr>
            </w:pPr>
            <w:r>
              <w:rPr>
                <w:rFonts w:ascii="Arial" w:cs="Arial" w:eastAsia="Arial" w:hAnsi="Arial"/>
                <w:sz w:val="10"/>
                <w:szCs w:val="10"/>
                <w:b w:val="1"/>
                <w:bCs w:val="1"/>
                <w:color w:val="auto"/>
                <w:w w:val="94"/>
              </w:rPr>
              <w:t>Commodity</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6700" w:type="dxa"/>
            <w:vAlign w:val="bottom"/>
          </w:tcPr>
          <w:p>
            <w:pPr>
              <w:spacing w:after="0"/>
              <w:rPr>
                <w:sz w:val="10"/>
                <w:szCs w:val="10"/>
                <w:color w:val="auto"/>
              </w:rPr>
            </w:pPr>
          </w:p>
        </w:tc>
        <w:tc>
          <w:tcPr>
            <w:tcW w:w="1760" w:type="dxa"/>
            <w:vAlign w:val="bottom"/>
          </w:tcPr>
          <w:p>
            <w:pPr>
              <w:jc w:val="center"/>
              <w:ind w:left="350"/>
              <w:spacing w:after="0"/>
              <w:rPr>
                <w:sz w:val="20"/>
                <w:szCs w:val="20"/>
                <w:color w:val="auto"/>
              </w:rPr>
            </w:pPr>
            <w:r>
              <w:rPr>
                <w:rFonts w:ascii="Arial" w:cs="Arial" w:eastAsia="Arial" w:hAnsi="Arial"/>
                <w:sz w:val="10"/>
                <w:szCs w:val="10"/>
                <w:b w:val="1"/>
                <w:bCs w:val="1"/>
                <w:color w:val="auto"/>
                <w:w w:val="90"/>
              </w:rPr>
              <w:t>Derivative Contracts</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0"/>
              </w:rPr>
              <w:t>Contingent</w:t>
            </w:r>
          </w:p>
        </w:tc>
      </w:tr>
      <w:tr>
        <w:trPr>
          <w:trHeight w:val="118"/>
        </w:trPr>
        <w:tc>
          <w:tcPr>
            <w:tcW w:w="6700" w:type="dxa"/>
            <w:vAlign w:val="bottom"/>
          </w:tcPr>
          <w:p>
            <w:pPr>
              <w:spacing w:after="0"/>
              <w:rPr>
                <w:sz w:val="10"/>
                <w:szCs w:val="10"/>
                <w:color w:val="auto"/>
              </w:rPr>
            </w:pPr>
          </w:p>
        </w:tc>
        <w:tc>
          <w:tcPr>
            <w:tcW w:w="1760" w:type="dxa"/>
            <w:vAlign w:val="bottom"/>
          </w:tcPr>
          <w:p>
            <w:pPr>
              <w:jc w:val="center"/>
              <w:ind w:left="350"/>
              <w:spacing w:after="0"/>
              <w:rPr>
                <w:sz w:val="20"/>
                <w:szCs w:val="20"/>
                <w:color w:val="auto"/>
              </w:rPr>
            </w:pPr>
            <w:r>
              <w:rPr>
                <w:rFonts w:ascii="Arial" w:cs="Arial" w:eastAsia="Arial" w:hAnsi="Arial"/>
                <w:sz w:val="10"/>
                <w:szCs w:val="10"/>
                <w:b w:val="1"/>
                <w:bCs w:val="1"/>
                <w:color w:val="auto"/>
                <w:w w:val="91"/>
              </w:rPr>
              <w:t>Asset/(Liability)</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2"/>
              </w:rPr>
              <w:t>Consideration</w:t>
            </w:r>
          </w:p>
        </w:tc>
      </w:tr>
      <w:tr>
        <w:trPr>
          <w:trHeight w:val="102"/>
        </w:trPr>
        <w:tc>
          <w:tcPr>
            <w:tcW w:w="670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Balance, December 31, 2018</w:t>
            </w:r>
          </w:p>
        </w:tc>
        <w:tc>
          <w:tcPr>
            <w:tcW w:w="1760" w:type="dxa"/>
            <w:vAlign w:val="bottom"/>
            <w:tcBorders>
              <w:top w:val="single" w:sz="8" w:color="auto"/>
            </w:tcBorders>
            <w:shd w:val="clear" w:color="auto" w:fill="CFF0FC"/>
          </w:tcPr>
          <w:p>
            <w:pPr>
              <w:jc w:val="right"/>
              <w:ind w:right="1650"/>
              <w:spacing w:after="0" w:line="103"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6.5</w:t>
            </w:r>
          </w:p>
        </w:tc>
        <w:tc>
          <w:tcPr>
            <w:tcW w:w="32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jc w:val="right"/>
              <w:ind w:right="335"/>
              <w:spacing w:after="0"/>
              <w:rPr>
                <w:sz w:val="20"/>
                <w:szCs w:val="20"/>
                <w:color w:val="auto"/>
              </w:rPr>
            </w:pPr>
            <w:r>
              <w:rPr>
                <w:rFonts w:ascii="Arial" w:cs="Arial" w:eastAsia="Arial" w:hAnsi="Arial"/>
                <w:sz w:val="5"/>
                <w:szCs w:val="5"/>
                <w:color w:val="auto"/>
                <w:w w:val="70"/>
              </w:rPr>
              <w:t>$</w:t>
            </w:r>
          </w:p>
        </w:tc>
        <w:tc>
          <w:tcPr>
            <w:tcW w:w="17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(310.6)</w:t>
            </w:r>
          </w:p>
        </w:tc>
        <w:tc>
          <w:tcPr>
            <w:tcW w:w="120" w:type="dxa"/>
            <w:vAlign w:val="bottom"/>
            <w:tcBorders>
              <w:top w:val="single" w:sz="8" w:color="CFF0FC"/>
            </w:tcBorders>
            <w:shd w:val="clear" w:color="auto" w:fill="CFF0FC"/>
          </w:tcPr>
          <w:p>
            <w:pPr>
              <w:spacing w:after="0"/>
              <w:rPr>
                <w:sz w:val="8"/>
                <w:szCs w:val="8"/>
                <w:color w:val="auto"/>
              </w:rPr>
            </w:pPr>
          </w:p>
        </w:tc>
      </w:tr>
      <w:tr>
        <w:trPr>
          <w:trHeight w:val="113"/>
        </w:trPr>
        <w:tc>
          <w:tcPr>
            <w:tcW w:w="6700" w:type="dxa"/>
            <w:vAlign w:val="bottom"/>
          </w:tcPr>
          <w:p>
            <w:pPr>
              <w:ind w:left="520"/>
              <w:spacing w:after="0" w:line="113" w:lineRule="exact"/>
              <w:rPr>
                <w:sz w:val="20"/>
                <w:szCs w:val="20"/>
                <w:color w:val="auto"/>
              </w:rPr>
            </w:pPr>
            <w:r>
              <w:rPr>
                <w:rFonts w:ascii="Arial" w:cs="Arial" w:eastAsia="Arial" w:hAnsi="Arial"/>
                <w:sz w:val="10"/>
                <w:szCs w:val="10"/>
                <w:color w:val="auto"/>
              </w:rPr>
              <w:t>Completion of Permian Acquisition contingent consideration earn-out period</w:t>
            </w:r>
          </w:p>
        </w:tc>
        <w:tc>
          <w:tcPr>
            <w:tcW w:w="176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tcPr>
          <w:p>
            <w:pPr>
              <w:jc w:val="right"/>
              <w:spacing w:after="0" w:line="113" w:lineRule="exact"/>
              <w:rPr>
                <w:sz w:val="20"/>
                <w:szCs w:val="20"/>
                <w:color w:val="auto"/>
              </w:rPr>
            </w:pPr>
            <w:r>
              <w:rPr>
                <w:rFonts w:ascii="Arial" w:cs="Arial" w:eastAsia="Arial" w:hAnsi="Arial"/>
                <w:sz w:val="10"/>
                <w:szCs w:val="10"/>
                <w:color w:val="auto"/>
              </w:rPr>
              <w:t>308.2</w:t>
            </w:r>
          </w:p>
        </w:tc>
        <w:tc>
          <w:tcPr>
            <w:tcW w:w="120" w:type="dxa"/>
            <w:vAlign w:val="bottom"/>
          </w:tcPr>
          <w:p>
            <w:pPr>
              <w:spacing w:after="0"/>
              <w:rPr>
                <w:sz w:val="9"/>
                <w:szCs w:val="9"/>
                <w:color w:val="auto"/>
              </w:rPr>
            </w:pPr>
          </w:p>
        </w:tc>
      </w:tr>
      <w:tr>
        <w:trPr>
          <w:trHeight w:val="113"/>
        </w:trPr>
        <w:tc>
          <w:tcPr>
            <w:tcW w:w="6700" w:type="dxa"/>
            <w:vAlign w:val="bottom"/>
            <w:shd w:val="clear" w:color="auto" w:fill="CFF0FC"/>
          </w:tcPr>
          <w:p>
            <w:pPr>
              <w:ind w:left="520"/>
              <w:spacing w:after="0" w:line="113" w:lineRule="exact"/>
              <w:rPr>
                <w:sz w:val="20"/>
                <w:szCs w:val="20"/>
                <w:color w:val="auto"/>
              </w:rPr>
            </w:pPr>
            <w:r>
              <w:rPr>
                <w:rFonts w:ascii="Arial" w:cs="Arial" w:eastAsia="Arial" w:hAnsi="Arial"/>
                <w:sz w:val="10"/>
                <w:szCs w:val="10"/>
                <w:color w:val="auto"/>
              </w:rPr>
              <w:t>Unrealized gain/(loss) included in OCI</w:t>
            </w:r>
          </w:p>
        </w:tc>
        <w:tc>
          <w:tcPr>
            <w:tcW w:w="176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280"/>
              <w:spacing w:after="0" w:line="113" w:lineRule="exact"/>
              <w:rPr>
                <w:sz w:val="20"/>
                <w:szCs w:val="20"/>
                <w:color w:val="auto"/>
              </w:rPr>
            </w:pPr>
            <w:r>
              <w:rPr>
                <w:rFonts w:ascii="Arial" w:cs="Arial" w:eastAsia="Arial" w:hAnsi="Arial"/>
                <w:sz w:val="10"/>
                <w:szCs w:val="10"/>
                <w:color w:val="auto"/>
              </w:rPr>
              <w:t>(3.1)</w:t>
            </w:r>
          </w:p>
        </w:tc>
        <w:tc>
          <w:tcPr>
            <w:tcW w:w="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7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9"/>
                <w:szCs w:val="9"/>
                <w:color w:val="auto"/>
              </w:rPr>
            </w:pPr>
          </w:p>
        </w:tc>
      </w:tr>
      <w:tr>
        <w:trPr>
          <w:trHeight w:val="111"/>
        </w:trPr>
        <w:tc>
          <w:tcPr>
            <w:tcW w:w="6700" w:type="dxa"/>
            <w:vAlign w:val="bottom"/>
          </w:tcPr>
          <w:p>
            <w:pPr>
              <w:spacing w:after="0" w:line="103" w:lineRule="exact"/>
              <w:rPr>
                <w:sz w:val="20"/>
                <w:szCs w:val="20"/>
                <w:color w:val="auto"/>
              </w:rPr>
            </w:pPr>
            <w:r>
              <w:rPr>
                <w:rFonts w:ascii="Arial" w:cs="Arial" w:eastAsia="Arial" w:hAnsi="Arial"/>
                <w:sz w:val="10"/>
                <w:szCs w:val="10"/>
                <w:b w:val="1"/>
                <w:bCs w:val="1"/>
                <w:color w:val="auto"/>
              </w:rPr>
              <w:t>Balance, March 31, 2019</w:t>
            </w:r>
          </w:p>
        </w:tc>
        <w:tc>
          <w:tcPr>
            <w:tcW w:w="1760" w:type="dxa"/>
            <w:vAlign w:val="bottom"/>
            <w:tcBorders>
              <w:top w:val="single" w:sz="8" w:color="auto"/>
              <w:bottom w:val="single" w:sz="8" w:color="auto"/>
            </w:tcBorders>
          </w:tcPr>
          <w:p>
            <w:pPr>
              <w:jc w:val="right"/>
              <w:ind w:right="1650"/>
              <w:spacing w:after="0" w:line="103"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3.4</w:t>
            </w: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5"/>
                <w:szCs w:val="5"/>
                <w:color w:val="auto"/>
                <w:w w:val="70"/>
              </w:rPr>
              <w:t>$</w:t>
            </w:r>
          </w:p>
        </w:tc>
        <w:tc>
          <w:tcPr>
            <w:tcW w:w="17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(2.4)</w:t>
            </w:r>
          </w:p>
        </w:tc>
        <w:tc>
          <w:tcPr>
            <w:tcW w:w="120" w:type="dxa"/>
            <w:vAlign w:val="bottom"/>
          </w:tcPr>
          <w:p>
            <w:pPr>
              <w:spacing w:after="0"/>
              <w:rPr>
                <w:sz w:val="9"/>
                <w:szCs w:val="9"/>
                <w:color w:val="auto"/>
              </w:rPr>
            </w:pPr>
          </w:p>
        </w:tc>
      </w:tr>
    </w:tbl>
    <w:p>
      <w:pPr>
        <w:spacing w:after="0" w:line="128"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Note 15 — Related Party Transactions – Targa</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3"/>
          <w:szCs w:val="13"/>
          <w:i w:val="1"/>
          <w:iCs w:val="1"/>
          <w:color w:val="auto"/>
        </w:rPr>
        <w:t>Relationship with Targa</w:t>
      </w:r>
    </w:p>
    <w:p>
      <w:pPr>
        <w:spacing w:after="0" w:line="152" w:lineRule="exact"/>
        <w:rPr>
          <w:sz w:val="20"/>
          <w:szCs w:val="20"/>
          <w:color w:val="auto"/>
        </w:rPr>
      </w:pPr>
    </w:p>
    <w:p>
      <w:pPr>
        <w:jc w:val="both"/>
        <w:ind w:left="5"/>
        <w:spacing w:after="0" w:line="344" w:lineRule="auto"/>
        <w:rPr>
          <w:sz w:val="20"/>
          <w:szCs w:val="20"/>
          <w:color w:val="auto"/>
        </w:rPr>
      </w:pPr>
      <w:r>
        <w:rPr>
          <w:rFonts w:ascii="Arial" w:cs="Arial" w:eastAsia="Arial" w:hAnsi="Arial"/>
          <w:sz w:val="11"/>
          <w:szCs w:val="11"/>
          <w:color w:val="auto"/>
        </w:rPr>
        <w:t>We do not have any employees. Targa provides operational, general and administrative and other services to us associated with our existing assets and assets acquired from third parties. Targa performs centralized corporate functions for us, such as legal, accounting, treasury, insurance, risk management, health, safety and environmental, information technology, human resources, credit, payroll, internal audit, taxes, engineering and marketing.</w:t>
      </w:r>
    </w:p>
    <w:p>
      <w:pPr>
        <w:spacing w:after="0" w:line="89" w:lineRule="exact"/>
        <w:rPr>
          <w:sz w:val="20"/>
          <w:szCs w:val="20"/>
          <w:color w:val="auto"/>
        </w:rPr>
      </w:pPr>
    </w:p>
    <w:p>
      <w:pPr>
        <w:jc w:val="both"/>
        <w:ind w:left="5" w:right="20"/>
        <w:spacing w:after="0" w:line="248" w:lineRule="auto"/>
        <w:rPr>
          <w:sz w:val="20"/>
          <w:szCs w:val="20"/>
          <w:color w:val="auto"/>
        </w:rPr>
      </w:pPr>
      <w:r>
        <w:rPr>
          <w:rFonts w:ascii="Arial" w:cs="Arial" w:eastAsia="Arial" w:hAnsi="Arial"/>
          <w:sz w:val="13"/>
          <w:szCs w:val="13"/>
          <w:color w:val="auto"/>
        </w:rPr>
        <w:t>Our Partnership Agreement governs the reimbursement of costs incurred by Targa on behalf of us. Targa charges us for all the direct costs of the employees assigned to our operations, as well as all general and administrative support costs other than (1) costs attributable to Targa’s status as a separate reporting company and (2) until March 2018, costs of Targa providing management and support services to certain unaffiliated spun-off entities. We generally reimburse Targa monthly for cost allocations to the extent that Targa has made a cash outlay.</w:t>
      </w:r>
    </w:p>
    <w:p>
      <w:pPr>
        <w:spacing w:after="0" w:line="139"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following table summarizes transactions with Targa. Management believes these transactions are executed on terms that are fair and reasonable:</w:t>
      </w:r>
    </w:p>
    <w:p>
      <w:pPr>
        <w:spacing w:after="0" w:line="52"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75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0"/>
                <w:szCs w:val="10"/>
                <w:b w:val="1"/>
                <w:bCs w:val="1"/>
                <w:color w:val="auto"/>
                <w:w w:val="98"/>
              </w:rPr>
              <w:t>Three Months Ended March 31,</w:t>
            </w: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02"/>
        </w:trPr>
        <w:tc>
          <w:tcPr>
            <w:tcW w:w="7560" w:type="dxa"/>
            <w:vAlign w:val="bottom"/>
            <w:tcBorders>
              <w:bottom w:val="single" w:sz="8" w:color="CFF0FC"/>
            </w:tcBorders>
          </w:tcPr>
          <w:p>
            <w:pPr>
              <w:spacing w:after="0"/>
              <w:rPr>
                <w:sz w:val="8"/>
                <w:szCs w:val="8"/>
                <w:color w:val="auto"/>
              </w:rPr>
            </w:pPr>
          </w:p>
        </w:tc>
        <w:tc>
          <w:tcPr>
            <w:tcW w:w="1100" w:type="dxa"/>
            <w:vAlign w:val="bottom"/>
            <w:tcBorders>
              <w:bottom w:val="single" w:sz="8" w:color="auto"/>
            </w:tcBorders>
          </w:tcPr>
          <w:p>
            <w:pPr>
              <w:jc w:val="right"/>
              <w:ind w:right="70"/>
              <w:spacing w:after="0" w:line="103" w:lineRule="exact"/>
              <w:rPr>
                <w:sz w:val="20"/>
                <w:szCs w:val="20"/>
                <w:color w:val="auto"/>
              </w:rPr>
            </w:pPr>
            <w:r>
              <w:rPr>
                <w:rFonts w:ascii="Arial" w:cs="Arial" w:eastAsia="Arial" w:hAnsi="Arial"/>
                <w:sz w:val="10"/>
                <w:szCs w:val="10"/>
                <w:b w:val="1"/>
                <w:bCs w:val="1"/>
                <w:color w:val="auto"/>
              </w:rPr>
              <w:t>2019</w:t>
            </w: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CFF0FC"/>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690"/>
              <w:spacing w:after="0" w:line="103" w:lineRule="exact"/>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FF0FC"/>
            </w:tcBorders>
          </w:tcPr>
          <w:p>
            <w:pPr>
              <w:spacing w:after="0"/>
              <w:rPr>
                <w:sz w:val="8"/>
                <w:szCs w:val="8"/>
                <w:color w:val="auto"/>
              </w:rPr>
            </w:pPr>
          </w:p>
        </w:tc>
      </w:tr>
      <w:tr>
        <w:trPr>
          <w:trHeight w:val="102"/>
        </w:trPr>
        <w:tc>
          <w:tcPr>
            <w:tcW w:w="7560" w:type="dxa"/>
            <w:vAlign w:val="bottom"/>
            <w:shd w:val="clear" w:color="auto" w:fill="CFF0FC"/>
          </w:tcPr>
          <w:p>
            <w:pPr>
              <w:spacing w:after="0" w:line="103" w:lineRule="exact"/>
              <w:rPr>
                <w:sz w:val="20"/>
                <w:szCs w:val="20"/>
                <w:color w:val="auto"/>
              </w:rPr>
            </w:pPr>
            <w:r>
              <w:rPr>
                <w:rFonts w:ascii="Arial" w:cs="Arial" w:eastAsia="Arial" w:hAnsi="Arial"/>
                <w:sz w:val="10"/>
                <w:szCs w:val="10"/>
                <w:color w:val="auto"/>
              </w:rPr>
              <w:t>Targa billings of payroll and related costs included in operating expenses</w:t>
            </w:r>
          </w:p>
        </w:tc>
        <w:tc>
          <w:tcPr>
            <w:tcW w:w="1100" w:type="dxa"/>
            <w:vAlign w:val="bottom"/>
            <w:shd w:val="clear" w:color="auto" w:fill="CFF0FC"/>
          </w:tcPr>
          <w:p>
            <w:pPr>
              <w:jc w:val="right"/>
              <w:ind w:right="990"/>
              <w:spacing w:after="0" w:line="103" w:lineRule="exact"/>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54.1</w:t>
            </w:r>
          </w:p>
        </w:tc>
        <w:tc>
          <w:tcPr>
            <w:tcW w:w="400" w:type="dxa"/>
            <w:vAlign w:val="bottom"/>
            <w:shd w:val="clear" w:color="auto" w:fill="CFF0FC"/>
          </w:tcPr>
          <w:p>
            <w:pPr>
              <w:spacing w:after="0"/>
              <w:rPr>
                <w:sz w:val="8"/>
                <w:szCs w:val="8"/>
                <w:color w:val="auto"/>
              </w:rPr>
            </w:pPr>
          </w:p>
        </w:tc>
        <w:tc>
          <w:tcPr>
            <w:tcW w:w="560" w:type="dxa"/>
            <w:vAlign w:val="bottom"/>
            <w:shd w:val="clear" w:color="auto" w:fill="CFF0FC"/>
          </w:tcPr>
          <w:p>
            <w:pPr>
              <w:jc w:val="right"/>
              <w:ind w:right="495"/>
              <w:spacing w:after="0"/>
              <w:rPr>
                <w:sz w:val="20"/>
                <w:szCs w:val="20"/>
                <w:color w:val="auto"/>
              </w:rPr>
            </w:pPr>
            <w:r>
              <w:rPr>
                <w:rFonts w:ascii="Arial" w:cs="Arial" w:eastAsia="Arial" w:hAnsi="Arial"/>
                <w:sz w:val="5"/>
                <w:szCs w:val="5"/>
                <w:color w:val="auto"/>
                <w:w w:val="70"/>
              </w:rPr>
              <w:t>$</w:t>
            </w:r>
          </w:p>
        </w:tc>
        <w:tc>
          <w:tcPr>
            <w:tcW w:w="108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59.5</w:t>
            </w:r>
          </w:p>
        </w:tc>
        <w:tc>
          <w:tcPr>
            <w:tcW w:w="120" w:type="dxa"/>
            <w:vAlign w:val="bottom"/>
            <w:shd w:val="clear" w:color="auto" w:fill="CFF0FC"/>
          </w:tcPr>
          <w:p>
            <w:pPr>
              <w:spacing w:after="0"/>
              <w:rPr>
                <w:sz w:val="8"/>
                <w:szCs w:val="8"/>
                <w:color w:val="auto"/>
              </w:rPr>
            </w:pPr>
          </w:p>
        </w:tc>
      </w:tr>
      <w:tr>
        <w:trPr>
          <w:trHeight w:val="113"/>
        </w:trPr>
        <w:tc>
          <w:tcPr>
            <w:tcW w:w="7560" w:type="dxa"/>
            <w:vAlign w:val="bottom"/>
          </w:tcPr>
          <w:p>
            <w:pPr>
              <w:spacing w:after="0" w:line="113" w:lineRule="exact"/>
              <w:rPr>
                <w:sz w:val="20"/>
                <w:szCs w:val="20"/>
                <w:color w:val="auto"/>
              </w:rPr>
            </w:pPr>
            <w:r>
              <w:rPr>
                <w:rFonts w:ascii="Arial" w:cs="Arial" w:eastAsia="Arial" w:hAnsi="Arial"/>
                <w:sz w:val="10"/>
                <w:szCs w:val="10"/>
                <w:color w:val="auto"/>
              </w:rPr>
              <w:t>Targa allocation of general and administrative expense</w:t>
            </w:r>
          </w:p>
        </w:tc>
        <w:tc>
          <w:tcPr>
            <w:tcW w:w="110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67.8</w:t>
            </w: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Arial" w:cs="Arial" w:eastAsia="Arial" w:hAnsi="Arial"/>
                <w:sz w:val="10"/>
                <w:szCs w:val="10"/>
                <w:color w:val="auto"/>
              </w:rPr>
              <w:t>47.3</w:t>
            </w:r>
          </w:p>
        </w:tc>
        <w:tc>
          <w:tcPr>
            <w:tcW w:w="120" w:type="dxa"/>
            <w:vAlign w:val="bottom"/>
          </w:tcPr>
          <w:p>
            <w:pPr>
              <w:spacing w:after="0"/>
              <w:rPr>
                <w:sz w:val="9"/>
                <w:szCs w:val="9"/>
                <w:color w:val="auto"/>
              </w:rPr>
            </w:pPr>
          </w:p>
        </w:tc>
      </w:tr>
      <w:tr>
        <w:trPr>
          <w:trHeight w:val="113"/>
        </w:trPr>
        <w:tc>
          <w:tcPr>
            <w:tcW w:w="756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Cash distributions to Targa based on general partner and limited partner ownership</w:t>
            </w:r>
          </w:p>
        </w:tc>
        <w:tc>
          <w:tcPr>
            <w:tcW w:w="110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238.5</w:t>
            </w:r>
          </w:p>
        </w:tc>
        <w:tc>
          <w:tcPr>
            <w:tcW w:w="4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225.7</w:t>
            </w:r>
          </w:p>
        </w:tc>
        <w:tc>
          <w:tcPr>
            <w:tcW w:w="120" w:type="dxa"/>
            <w:vAlign w:val="bottom"/>
            <w:shd w:val="clear" w:color="auto" w:fill="CFF0FC"/>
          </w:tcPr>
          <w:p>
            <w:pPr>
              <w:spacing w:after="0"/>
              <w:rPr>
                <w:sz w:val="9"/>
                <w:szCs w:val="9"/>
                <w:color w:val="auto"/>
              </w:rPr>
            </w:pPr>
          </w:p>
        </w:tc>
      </w:tr>
      <w:tr>
        <w:trPr>
          <w:trHeight w:val="113"/>
        </w:trPr>
        <w:tc>
          <w:tcPr>
            <w:tcW w:w="7560" w:type="dxa"/>
            <w:vAlign w:val="bottom"/>
          </w:tcPr>
          <w:p>
            <w:pPr>
              <w:spacing w:after="0" w:line="113" w:lineRule="exact"/>
              <w:rPr>
                <w:sz w:val="20"/>
                <w:szCs w:val="20"/>
                <w:color w:val="auto"/>
              </w:rPr>
            </w:pPr>
            <w:r>
              <w:rPr>
                <w:rFonts w:ascii="Arial" w:cs="Arial" w:eastAsia="Arial" w:hAnsi="Arial"/>
                <w:sz w:val="10"/>
                <w:szCs w:val="10"/>
                <w:color w:val="auto"/>
              </w:rPr>
              <w:t>Cash contributions from Targa related to limited partner ownership (1)</w:t>
            </w:r>
          </w:p>
        </w:tc>
        <w:tc>
          <w:tcPr>
            <w:tcW w:w="110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Arial" w:cs="Arial" w:eastAsia="Arial" w:hAnsi="Arial"/>
                <w:sz w:val="10"/>
                <w:szCs w:val="10"/>
                <w:color w:val="auto"/>
              </w:rPr>
              <w:t>58.8</w:t>
            </w:r>
          </w:p>
        </w:tc>
        <w:tc>
          <w:tcPr>
            <w:tcW w:w="120" w:type="dxa"/>
            <w:vAlign w:val="bottom"/>
          </w:tcPr>
          <w:p>
            <w:pPr>
              <w:spacing w:after="0"/>
              <w:rPr>
                <w:sz w:val="9"/>
                <w:szCs w:val="9"/>
                <w:color w:val="auto"/>
              </w:rPr>
            </w:pPr>
          </w:p>
        </w:tc>
      </w:tr>
      <w:tr>
        <w:trPr>
          <w:trHeight w:val="113"/>
        </w:trPr>
        <w:tc>
          <w:tcPr>
            <w:tcW w:w="756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Cash contributions from Targa to maintain its 2% general partner ownership</w:t>
            </w:r>
          </w:p>
        </w:tc>
        <w:tc>
          <w:tcPr>
            <w:tcW w:w="110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93" w:lineRule="exact"/>
              <w:rPr>
                <w:sz w:val="20"/>
                <w:szCs w:val="20"/>
                <w:color w:val="auto"/>
              </w:rPr>
            </w:pPr>
            <w:r>
              <w:rPr>
                <w:rFonts w:ascii="Arial" w:cs="Arial" w:eastAsia="Arial" w:hAnsi="Arial"/>
                <w:sz w:val="10"/>
                <w:szCs w:val="10"/>
                <w:color w:val="auto"/>
              </w:rPr>
              <w:t>—</w:t>
            </w:r>
          </w:p>
        </w:tc>
        <w:tc>
          <w:tcPr>
            <w:tcW w:w="4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80" w:type="dxa"/>
            <w:vAlign w:val="bottom"/>
            <w:shd w:val="clear" w:color="auto" w:fill="CFF0FC"/>
          </w:tcPr>
          <w:p>
            <w:pPr>
              <w:jc w:val="right"/>
              <w:spacing w:after="0" w:line="93" w:lineRule="exact"/>
              <w:rPr>
                <w:sz w:val="20"/>
                <w:szCs w:val="20"/>
                <w:color w:val="auto"/>
              </w:rPr>
            </w:pPr>
            <w:r>
              <w:rPr>
                <w:rFonts w:ascii="Arial" w:cs="Arial" w:eastAsia="Arial" w:hAnsi="Arial"/>
                <w:sz w:val="10"/>
                <w:szCs w:val="10"/>
                <w:color w:val="auto"/>
              </w:rPr>
              <w:t>1.2</w:t>
            </w:r>
          </w:p>
        </w:tc>
        <w:tc>
          <w:tcPr>
            <w:tcW w:w="120" w:type="dxa"/>
            <w:vAlign w:val="bottom"/>
            <w:shd w:val="clear" w:color="auto" w:fill="CFF0FC"/>
          </w:tcPr>
          <w:p>
            <w:pPr>
              <w:spacing w:after="0"/>
              <w:rPr>
                <w:sz w:val="9"/>
                <w:szCs w:val="9"/>
                <w:color w:val="auto"/>
              </w:rPr>
            </w:pPr>
          </w:p>
        </w:tc>
      </w:tr>
      <w:tr>
        <w:trPr>
          <w:trHeight w:val="24"/>
        </w:trPr>
        <w:tc>
          <w:tcPr>
            <w:tcW w:w="7560" w:type="dxa"/>
            <w:vAlign w:val="bottom"/>
          </w:tcPr>
          <w:p>
            <w:pPr>
              <w:spacing w:after="0"/>
              <w:rPr>
                <w:sz w:val="20"/>
                <w:szCs w:val="20"/>
                <w:color w:val="auto"/>
              </w:rPr>
            </w:pPr>
            <w:r>
              <w:rPr>
                <w:rFonts w:ascii="Arial" w:cs="Arial" w:eastAsia="Arial" w:hAnsi="Arial"/>
                <w:sz w:val="1"/>
                <w:szCs w:val="1"/>
                <w:color w:val="auto"/>
              </w:rPr>
              <w:t>__________________________________________________________________________________________________________</w:t>
            </w: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r>
    </w:tbl>
    <w:p>
      <w:pPr>
        <w:ind w:left="385" w:hanging="385"/>
        <w:spacing w:after="0"/>
        <w:tabs>
          <w:tab w:leader="none" w:pos="385" w:val="left"/>
        </w:tabs>
        <w:numPr>
          <w:ilvl w:val="0"/>
          <w:numId w:val="13"/>
        </w:numPr>
        <w:rPr>
          <w:rFonts w:ascii="Arial" w:cs="Arial" w:eastAsia="Arial" w:hAnsi="Arial"/>
          <w:sz w:val="10"/>
          <w:szCs w:val="10"/>
          <w:color w:val="auto"/>
        </w:rPr>
      </w:pPr>
      <w:r>
        <w:rPr>
          <w:rFonts w:ascii="Arial" w:cs="Arial" w:eastAsia="Arial" w:hAnsi="Arial"/>
          <w:sz w:val="10"/>
          <w:szCs w:val="10"/>
          <w:color w:val="auto"/>
        </w:rPr>
        <w:t>The cash contributions from Targa related to limited partner ownership were allocated 98% to the limited partner and 2% to general partner. See Note 12 – Partnership Units and Related Matters.</w:t>
      </w:r>
    </w:p>
    <w:p>
      <w:pPr>
        <w:spacing w:after="0" w:line="200" w:lineRule="exact"/>
        <w:rPr>
          <w:sz w:val="20"/>
          <w:szCs w:val="20"/>
          <w:color w:val="auto"/>
        </w:rPr>
      </w:pPr>
    </w:p>
    <w:p>
      <w:pPr>
        <w:spacing w:after="0" w:line="339"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32536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432" w:right="199" w:bottom="1440" w:gutter="0" w:footer="0" w:header="0"/>
        </w:sectPr>
      </w:pPr>
    </w:p>
    <w:bookmarkStart w:id="24" w:name="page25"/>
    <w:bookmarkEnd w:id="24"/>
    <w:p>
      <w:pPr>
        <w:ind w:left="5"/>
        <w:spacing w:after="0"/>
        <w:rPr>
          <w:sz w:val="20"/>
          <w:szCs w:val="20"/>
          <w:color w:val="auto"/>
        </w:rPr>
      </w:pPr>
      <w:r>
        <w:rPr>
          <w:rFonts w:ascii="Arial" w:cs="Arial" w:eastAsia="Arial" w:hAnsi="Arial"/>
          <w:sz w:val="13"/>
          <w:szCs w:val="13"/>
          <w:b w:val="1"/>
          <w:bCs w:val="1"/>
          <w:color w:val="auto"/>
        </w:rPr>
        <w:t>Note 16 – Contingencies</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3"/>
          <w:szCs w:val="13"/>
          <w:b w:val="1"/>
          <w:bCs w:val="1"/>
          <w:i w:val="1"/>
          <w:iCs w:val="1"/>
          <w:color w:val="auto"/>
        </w:rPr>
        <w:t>Legal Proceedings</w:t>
      </w:r>
    </w:p>
    <w:p>
      <w:pPr>
        <w:spacing w:after="0" w:line="152" w:lineRule="exact"/>
        <w:rPr>
          <w:sz w:val="20"/>
          <w:szCs w:val="20"/>
          <w:color w:val="auto"/>
        </w:rPr>
      </w:pPr>
    </w:p>
    <w:p>
      <w:pPr>
        <w:jc w:val="both"/>
        <w:ind w:left="5"/>
        <w:spacing w:after="0" w:line="305" w:lineRule="auto"/>
        <w:rPr>
          <w:sz w:val="20"/>
          <w:szCs w:val="20"/>
          <w:color w:val="auto"/>
        </w:rPr>
      </w:pPr>
      <w:r>
        <w:rPr>
          <w:rFonts w:ascii="Arial" w:cs="Arial" w:eastAsia="Arial" w:hAnsi="Arial"/>
          <w:sz w:val="11"/>
          <w:szCs w:val="11"/>
          <w:color w:val="auto"/>
        </w:rPr>
        <w:t>We are a party to various legal, administrative and regulatory proceedings that have arisen in the ordinary course of our business. We are also a party to various proceedings with governmental environmental agencies in 2019, including but not limited to the Environmental Protection Agency, Texas Commission on Environmental Quality, Oklahoma Department of Environmental Quality, New Mexico Environment Department, Louisiana Department of Environmental Quality and North Dakota Department of Environmental Quality, which assert penalties for alleged violations of environmental regulations, including air emissions, discharges into the environment and reporting deficiencies, related to events that have arisen at certain of our facilities in the ordinary course of our business.</w:t>
      </w:r>
    </w:p>
    <w:p>
      <w:pPr>
        <w:spacing w:after="0" w:line="110" w:lineRule="exact"/>
        <w:rPr>
          <w:sz w:val="20"/>
          <w:szCs w:val="20"/>
          <w:color w:val="auto"/>
        </w:rPr>
      </w:pPr>
    </w:p>
    <w:p>
      <w:pPr>
        <w:ind w:left="5"/>
        <w:spacing w:after="0"/>
        <w:rPr>
          <w:sz w:val="20"/>
          <w:szCs w:val="20"/>
          <w:color w:val="auto"/>
        </w:rPr>
      </w:pPr>
      <w:r>
        <w:rPr>
          <w:rFonts w:ascii="Arial" w:cs="Arial" w:eastAsia="Arial" w:hAnsi="Arial"/>
          <w:sz w:val="11"/>
          <w:szCs w:val="11"/>
          <w:color w:val="auto"/>
        </w:rPr>
        <w:t>On February 26, 2019, the U.S. Environmental Protection Agency Region 8 and Targa Badlands LLC entered into a Final Order and Consent Agreement in connection with Targa Badlands LLC’s alleged violation of Subpart</w:t>
      </w:r>
    </w:p>
    <w:p>
      <w:pPr>
        <w:spacing w:after="0" w:line="31" w:lineRule="exact"/>
        <w:rPr>
          <w:sz w:val="20"/>
          <w:szCs w:val="20"/>
          <w:color w:val="auto"/>
        </w:rPr>
      </w:pPr>
    </w:p>
    <w:p>
      <w:pPr>
        <w:ind w:left="5" w:right="20" w:hanging="5"/>
        <w:spacing w:after="0" w:line="243" w:lineRule="auto"/>
        <w:tabs>
          <w:tab w:leader="none" w:pos="353" w:val="left"/>
        </w:tabs>
        <w:numPr>
          <w:ilvl w:val="0"/>
          <w:numId w:val="14"/>
        </w:numPr>
        <w:rPr>
          <w:rFonts w:ascii="Arial" w:cs="Arial" w:eastAsia="Arial" w:hAnsi="Arial"/>
          <w:sz w:val="13"/>
          <w:szCs w:val="13"/>
          <w:color w:val="auto"/>
        </w:rPr>
      </w:pPr>
      <w:r>
        <w:rPr>
          <w:rFonts w:ascii="Arial" w:cs="Arial" w:eastAsia="Arial" w:hAnsi="Arial"/>
          <w:sz w:val="13"/>
          <w:szCs w:val="13"/>
          <w:color w:val="auto"/>
        </w:rPr>
        <w:t>of the National Emission Standards for Hazardous Air Pollutants at its Junction Compressor Station in McKenzie County, North Dakota. The Consent Agreement imposed a $220,000 civil penalty and requires certain compliance improvements.</w:t>
      </w:r>
    </w:p>
    <w:p>
      <w:pPr>
        <w:spacing w:after="0" w:line="91"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Note 17 – Revenue</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3"/>
          <w:szCs w:val="13"/>
          <w:i w:val="1"/>
          <w:iCs w:val="1"/>
          <w:color w:val="auto"/>
        </w:rPr>
        <w:t>Fixed consideration allocated to remaining performance obligations</w:t>
      </w:r>
    </w:p>
    <w:p>
      <w:pPr>
        <w:spacing w:after="0" w:line="152" w:lineRule="exact"/>
        <w:rPr>
          <w:sz w:val="20"/>
          <w:szCs w:val="20"/>
          <w:color w:val="auto"/>
        </w:rPr>
      </w:pPr>
    </w:p>
    <w:p>
      <w:pPr>
        <w:jc w:val="both"/>
        <w:ind w:left="5"/>
        <w:spacing w:after="0" w:line="248" w:lineRule="auto"/>
        <w:rPr>
          <w:sz w:val="20"/>
          <w:szCs w:val="20"/>
          <w:color w:val="auto"/>
        </w:rPr>
      </w:pPr>
      <w:r>
        <w:rPr>
          <w:rFonts w:ascii="Arial" w:cs="Arial" w:eastAsia="Arial" w:hAnsi="Arial"/>
          <w:sz w:val="13"/>
          <w:szCs w:val="13"/>
          <w:color w:val="auto"/>
        </w:rPr>
        <w:t>The following table includes the estimated minimum revenue expected to be recognized in the future related to performance obligations that are unsatisfied (or partially unsatisfied) at the end of the reporting period and is comprised of fixed consideration primarily attributable to contracts with minimum volume commitments and for which a guaranteed amount of revenue can be calculated. These contracts are comprised primarily of gathering and processing, fractionation, export, terminaling and storage agreements.</w:t>
      </w:r>
    </w:p>
    <w:p>
      <w:pPr>
        <w:spacing w:after="0" w:line="189"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5400" w:type="dxa"/>
            <w:vAlign w:val="bottom"/>
          </w:tcPr>
          <w:p>
            <w:pPr>
              <w:spacing w:after="0"/>
              <w:rPr>
                <w:sz w:val="10"/>
                <w:szCs w:val="10"/>
                <w:color w:val="auto"/>
              </w:rPr>
            </w:pPr>
          </w:p>
        </w:tc>
        <w:tc>
          <w:tcPr>
            <w:tcW w:w="1240" w:type="dxa"/>
            <w:vAlign w:val="bottom"/>
          </w:tcPr>
          <w:p>
            <w:pPr>
              <w:jc w:val="right"/>
              <w:ind w:right="210"/>
              <w:spacing w:after="0"/>
              <w:rPr>
                <w:sz w:val="20"/>
                <w:szCs w:val="20"/>
                <w:color w:val="auto"/>
              </w:rPr>
            </w:pPr>
            <w:r>
              <w:rPr>
                <w:rFonts w:ascii="Arial" w:cs="Arial" w:eastAsia="Arial" w:hAnsi="Arial"/>
                <w:sz w:val="10"/>
                <w:szCs w:val="10"/>
                <w:b w:val="1"/>
                <w:bCs w:val="1"/>
                <w:color w:val="auto"/>
              </w:rPr>
              <w:t>2019</w:t>
            </w:r>
          </w:p>
        </w:tc>
        <w:tc>
          <w:tcPr>
            <w:tcW w:w="500" w:type="dxa"/>
            <w:vAlign w:val="bottom"/>
          </w:tcPr>
          <w:p>
            <w:pPr>
              <w:spacing w:after="0"/>
              <w:rPr>
                <w:sz w:val="10"/>
                <w:szCs w:val="10"/>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0"/>
                <w:szCs w:val="10"/>
                <w:b w:val="1"/>
                <w:bCs w:val="1"/>
                <w:color w:val="auto"/>
              </w:rPr>
              <w:t>2020</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2"/>
          </w:tcPr>
          <w:p>
            <w:pPr>
              <w:ind w:left="260"/>
              <w:spacing w:after="0"/>
              <w:rPr>
                <w:sz w:val="20"/>
                <w:szCs w:val="20"/>
                <w:color w:val="auto"/>
              </w:rPr>
            </w:pPr>
            <w:r>
              <w:rPr>
                <w:rFonts w:ascii="Arial" w:cs="Arial" w:eastAsia="Arial" w:hAnsi="Arial"/>
                <w:sz w:val="10"/>
                <w:szCs w:val="10"/>
                <w:b w:val="1"/>
                <w:bCs w:val="1"/>
                <w:color w:val="auto"/>
              </w:rPr>
              <w:t>2021 and after</w:t>
            </w:r>
          </w:p>
        </w:tc>
      </w:tr>
      <w:tr>
        <w:trPr>
          <w:trHeight w:val="102"/>
        </w:trPr>
        <w:tc>
          <w:tcPr>
            <w:tcW w:w="540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Fixed consideration to be recognized as of March 31, 2019</w:t>
            </w:r>
          </w:p>
        </w:tc>
        <w:tc>
          <w:tcPr>
            <w:tcW w:w="1240" w:type="dxa"/>
            <w:vAlign w:val="bottom"/>
            <w:tcBorders>
              <w:top w:val="single" w:sz="8" w:color="auto"/>
            </w:tcBorders>
            <w:shd w:val="clear" w:color="auto" w:fill="CFF0FC"/>
          </w:tcPr>
          <w:p>
            <w:pPr>
              <w:jc w:val="right"/>
              <w:ind w:right="1130"/>
              <w:spacing w:after="0" w:line="103"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394.3</w:t>
            </w:r>
          </w:p>
        </w:tc>
        <w:tc>
          <w:tcPr>
            <w:tcW w:w="360" w:type="dxa"/>
            <w:vAlign w:val="bottom"/>
            <w:tcBorders>
              <w:top w:val="single" w:sz="8" w:color="CFF0FC"/>
            </w:tcBorders>
            <w:shd w:val="clear" w:color="auto" w:fill="CFF0FC"/>
          </w:tcPr>
          <w:p>
            <w:pPr>
              <w:spacing w:after="0"/>
              <w:rPr>
                <w:sz w:val="8"/>
                <w:szCs w:val="8"/>
                <w:color w:val="auto"/>
              </w:rPr>
            </w:pPr>
          </w:p>
        </w:tc>
        <w:tc>
          <w:tcPr>
            <w:tcW w:w="1240" w:type="dxa"/>
            <w:vAlign w:val="bottom"/>
            <w:tcBorders>
              <w:top w:val="single" w:sz="8" w:color="auto"/>
            </w:tcBorders>
            <w:shd w:val="clear" w:color="auto" w:fill="CFF0FC"/>
          </w:tcPr>
          <w:p>
            <w:pPr>
              <w:jc w:val="right"/>
              <w:ind w:right="1130"/>
              <w:spacing w:after="0" w:line="103"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463.0</w:t>
            </w:r>
          </w:p>
        </w:tc>
        <w:tc>
          <w:tcPr>
            <w:tcW w:w="360" w:type="dxa"/>
            <w:vAlign w:val="bottom"/>
            <w:tcBorders>
              <w:top w:val="single" w:sz="8" w:color="CFF0FC"/>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jc w:val="right"/>
              <w:ind w:right="190"/>
              <w:spacing w:after="0" w:line="103" w:lineRule="exact"/>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3,327.5</w:t>
            </w:r>
          </w:p>
        </w:tc>
        <w:tc>
          <w:tcPr>
            <w:tcW w:w="120" w:type="dxa"/>
            <w:vAlign w:val="bottom"/>
            <w:tcBorders>
              <w:top w:val="single" w:sz="8" w:color="CFF0FC"/>
            </w:tcBorders>
            <w:shd w:val="clear" w:color="auto" w:fill="CFF0FC"/>
          </w:tcPr>
          <w:p>
            <w:pPr>
              <w:spacing w:after="0"/>
              <w:rPr>
                <w:sz w:val="8"/>
                <w:szCs w:val="8"/>
                <w:color w:val="auto"/>
              </w:rPr>
            </w:pPr>
          </w:p>
        </w:tc>
      </w:tr>
    </w:tbl>
    <w:p>
      <w:pPr>
        <w:spacing w:after="0" w:line="142" w:lineRule="exact"/>
        <w:rPr>
          <w:sz w:val="20"/>
          <w:szCs w:val="20"/>
          <w:color w:val="auto"/>
        </w:rPr>
      </w:pPr>
    </w:p>
    <w:p>
      <w:pPr>
        <w:jc w:val="both"/>
        <w:ind w:left="5"/>
        <w:spacing w:after="0" w:line="244" w:lineRule="auto"/>
        <w:rPr>
          <w:sz w:val="20"/>
          <w:szCs w:val="20"/>
          <w:color w:val="auto"/>
        </w:rPr>
      </w:pPr>
      <w:r>
        <w:rPr>
          <w:rFonts w:ascii="Arial" w:cs="Arial" w:eastAsia="Arial" w:hAnsi="Arial"/>
          <w:sz w:val="13"/>
          <w:szCs w:val="13"/>
          <w:color w:val="auto"/>
        </w:rPr>
        <w:t>In accordance with the optional exemptions that we elected to apply, the amounts presented in the table above exclude variable consideration for which the allocation exception is met and consideration associated with performance obligations of short-term contracts. In addition, consideration from contracts for which we recognize revenue at the amount that we have the right to invoice for services performed is also excluded from the table above, with the exception of any fixed consideration attributable to such contracts. The nature of the performance obligations for which the consideration has been excluded is consistent with the performance obligations described within our revenue recognition accounting policy; the estimated remaining duration of such contracts primarily ranges from 1 to 20 years. In addition, variability exists in the consideration excluded due to the unknown quantity and composition of volumes to be serviced or sold as well as fluctuations in the market price of commodities to be received as consideration or sold over the applicable remaining contract terms. Such variability is resolved at the end of each future month or quarter.</w:t>
      </w:r>
    </w:p>
    <w:p>
      <w:pPr>
        <w:spacing w:after="0" w:line="142" w:lineRule="exact"/>
        <w:rPr>
          <w:sz w:val="20"/>
          <w:szCs w:val="20"/>
          <w:color w:val="auto"/>
        </w:rPr>
      </w:pPr>
    </w:p>
    <w:p>
      <w:pPr>
        <w:ind w:left="5"/>
        <w:spacing w:after="0"/>
        <w:rPr>
          <w:sz w:val="20"/>
          <w:szCs w:val="20"/>
          <w:color w:val="auto"/>
        </w:rPr>
      </w:pPr>
      <w:r>
        <w:rPr>
          <w:rFonts w:ascii="Arial" w:cs="Arial" w:eastAsia="Arial" w:hAnsi="Arial"/>
          <w:sz w:val="13"/>
          <w:szCs w:val="13"/>
          <w:color w:val="auto"/>
        </w:rPr>
        <w:t>For disclosures related to disaggregated revenue, see Note 19 – Segment Information.</w:t>
      </w:r>
    </w:p>
    <w:p>
      <w:pPr>
        <w:spacing w:after="0" w:line="148"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Note 18 — Supplemental Cash Flow Information</w:t>
      </w:r>
    </w:p>
    <w:p>
      <w:pPr>
        <w:spacing w:after="0" w:line="12" w:lineRule="exact"/>
        <w:rPr>
          <w:sz w:val="20"/>
          <w:szCs w:val="20"/>
          <w:color w:val="auto"/>
        </w:rPr>
      </w:pPr>
    </w:p>
    <w:tbl>
      <w:tblPr>
        <w:tblLayout w:type="fixed"/>
        <w:tblInd w:w="5" w:type="dxa"/>
        <w:tblCellMar>
          <w:top w:w="0" w:type="dxa"/>
          <w:left w:w="0" w:type="dxa"/>
          <w:bottom w:w="0" w:type="dxa"/>
          <w:right w:w="0" w:type="dxa"/>
        </w:tblCellMar>
      </w:tblPr>
      <w:tr>
        <w:trPr>
          <w:trHeight w:val="115"/>
        </w:trPr>
        <w:tc>
          <w:tcPr>
            <w:tcW w:w="81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3"/>
              </w:rPr>
              <w:t>Three Months Ended March 31,</w:t>
            </w: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120" w:type="dxa"/>
            <w:vAlign w:val="bottom"/>
            <w:vMerge w:val="restart"/>
          </w:tcPr>
          <w:p>
            <w:pPr>
              <w:spacing w:after="0"/>
              <w:rPr>
                <w:sz w:val="20"/>
                <w:szCs w:val="20"/>
                <w:color w:val="auto"/>
              </w:rPr>
            </w:pPr>
            <w:r>
              <w:rPr>
                <w:rFonts w:ascii="Arial" w:cs="Arial" w:eastAsia="Arial" w:hAnsi="Arial"/>
                <w:sz w:val="10"/>
                <w:szCs w:val="10"/>
                <w:color w:val="auto"/>
              </w:rPr>
              <w:t>Cash:</w:t>
            </w:r>
          </w:p>
        </w:tc>
        <w:tc>
          <w:tcPr>
            <w:tcW w:w="9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2019</w:t>
            </w: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650"/>
              <w:spacing w:after="0" w:line="103" w:lineRule="exact"/>
              <w:rPr>
                <w:sz w:val="20"/>
                <w:szCs w:val="20"/>
                <w:color w:val="auto"/>
              </w:rPr>
            </w:pPr>
            <w:r>
              <w:rPr>
                <w:rFonts w:ascii="Arial" w:cs="Arial" w:eastAsia="Arial" w:hAnsi="Arial"/>
                <w:sz w:val="10"/>
                <w:szCs w:val="10"/>
                <w:b w:val="1"/>
                <w:bCs w:val="1"/>
                <w:color w:val="auto"/>
                <w:w w:val="89"/>
              </w:rPr>
              <w:t>2018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1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812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Interest paid, net of capitalized interest (1)</w:t>
            </w:r>
          </w:p>
        </w:tc>
        <w:tc>
          <w:tcPr>
            <w:tcW w:w="900" w:type="dxa"/>
            <w:vAlign w:val="bottom"/>
            <w:shd w:val="clear" w:color="auto" w:fill="CFF0FC"/>
          </w:tcPr>
          <w:p>
            <w:pPr>
              <w:jc w:val="right"/>
              <w:ind w:right="83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61.2</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5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39.4</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120" w:type="dxa"/>
            <w:vAlign w:val="bottom"/>
          </w:tcPr>
          <w:p>
            <w:pPr>
              <w:ind w:left="160"/>
              <w:spacing w:after="0" w:line="113" w:lineRule="exact"/>
              <w:rPr>
                <w:sz w:val="20"/>
                <w:szCs w:val="20"/>
                <w:color w:val="auto"/>
              </w:rPr>
            </w:pPr>
            <w:r>
              <w:rPr>
                <w:rFonts w:ascii="Arial" w:cs="Arial" w:eastAsia="Arial" w:hAnsi="Arial"/>
                <w:sz w:val="10"/>
                <w:szCs w:val="10"/>
                <w:color w:val="auto"/>
              </w:rPr>
              <w:t>Income taxes paid, net of refunds</w:t>
            </w:r>
          </w:p>
        </w:tc>
        <w:tc>
          <w:tcPr>
            <w:tcW w:w="90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0.3</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0.2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12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Non-cash investing activities:</w:t>
            </w:r>
          </w:p>
        </w:tc>
        <w:tc>
          <w:tcPr>
            <w:tcW w:w="9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120" w:type="dxa"/>
            <w:vAlign w:val="bottom"/>
          </w:tcPr>
          <w:p>
            <w:pPr>
              <w:ind w:left="160"/>
              <w:spacing w:after="0" w:line="113" w:lineRule="exact"/>
              <w:rPr>
                <w:sz w:val="20"/>
                <w:szCs w:val="20"/>
                <w:color w:val="auto"/>
              </w:rPr>
            </w:pPr>
            <w:r>
              <w:rPr>
                <w:rFonts w:ascii="Arial" w:cs="Arial" w:eastAsia="Arial" w:hAnsi="Arial"/>
                <w:sz w:val="10"/>
                <w:szCs w:val="10"/>
                <w:color w:val="auto"/>
              </w:rPr>
              <w:t>Deadstock commodity inventory transferred to property, plant and equipment</w:t>
            </w:r>
          </w:p>
        </w:tc>
        <w:tc>
          <w:tcPr>
            <w:tcW w:w="900" w:type="dxa"/>
            <w:vAlign w:val="bottom"/>
          </w:tcPr>
          <w:p>
            <w:pPr>
              <w:jc w:val="right"/>
              <w:ind w:right="830"/>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17.5</w:t>
            </w:r>
          </w:p>
        </w:tc>
        <w:tc>
          <w:tcPr>
            <w:tcW w:w="100" w:type="dxa"/>
            <w:vAlign w:val="bottom"/>
          </w:tcPr>
          <w:p>
            <w:pPr>
              <w:spacing w:after="0"/>
              <w:rPr>
                <w:sz w:val="9"/>
                <w:szCs w:val="9"/>
                <w:color w:val="auto"/>
              </w:rPr>
            </w:pPr>
          </w:p>
        </w:tc>
        <w:tc>
          <w:tcPr>
            <w:tcW w:w="660" w:type="dxa"/>
            <w:vAlign w:val="bottom"/>
          </w:tcPr>
          <w:p>
            <w:pPr>
              <w:jc w:val="right"/>
              <w:ind w:right="55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1.7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12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Impact of capital expenditure accruals on property, plant and equipment</w:t>
            </w:r>
          </w:p>
        </w:tc>
        <w:tc>
          <w:tcPr>
            <w:tcW w:w="90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(38.4)</w:t>
            </w:r>
          </w:p>
        </w:tc>
        <w:tc>
          <w:tcPr>
            <w:tcW w:w="66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(22.3)</w:t>
            </w:r>
          </w:p>
        </w:tc>
        <w:tc>
          <w:tcPr>
            <w:tcW w:w="0" w:type="dxa"/>
            <w:vAlign w:val="bottom"/>
          </w:tcPr>
          <w:p>
            <w:pPr>
              <w:spacing w:after="0"/>
              <w:rPr>
                <w:sz w:val="1"/>
                <w:szCs w:val="1"/>
                <w:color w:val="auto"/>
              </w:rPr>
            </w:pPr>
          </w:p>
        </w:tc>
      </w:tr>
      <w:tr>
        <w:trPr>
          <w:trHeight w:val="113"/>
        </w:trPr>
        <w:tc>
          <w:tcPr>
            <w:tcW w:w="8120" w:type="dxa"/>
            <w:vAlign w:val="bottom"/>
          </w:tcPr>
          <w:p>
            <w:pPr>
              <w:ind w:left="160"/>
              <w:spacing w:after="0" w:line="113" w:lineRule="exact"/>
              <w:rPr>
                <w:sz w:val="20"/>
                <w:szCs w:val="20"/>
                <w:color w:val="auto"/>
              </w:rPr>
            </w:pPr>
            <w:r>
              <w:rPr>
                <w:rFonts w:ascii="Arial" w:cs="Arial" w:eastAsia="Arial" w:hAnsi="Arial"/>
                <w:sz w:val="10"/>
                <w:szCs w:val="10"/>
                <w:color w:val="auto"/>
              </w:rPr>
              <w:t>Transfers from materials and supplies inventory to property, plant and equipment</w:t>
            </w:r>
          </w:p>
        </w:tc>
        <w:tc>
          <w:tcPr>
            <w:tcW w:w="90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1.1</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0.4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12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Contribution of property, plant and equipment to investments in unconsolidated affiliates</w:t>
            </w:r>
          </w:p>
        </w:tc>
        <w:tc>
          <w:tcPr>
            <w:tcW w:w="90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16.0</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120" w:type="dxa"/>
            <w:vAlign w:val="bottom"/>
          </w:tcPr>
          <w:p>
            <w:pPr>
              <w:ind w:left="160"/>
              <w:spacing w:after="0" w:line="113" w:lineRule="exact"/>
              <w:rPr>
                <w:sz w:val="20"/>
                <w:szCs w:val="20"/>
                <w:color w:val="auto"/>
              </w:rPr>
            </w:pPr>
            <w:r>
              <w:rPr>
                <w:rFonts w:ascii="Arial" w:cs="Arial" w:eastAsia="Arial" w:hAnsi="Arial"/>
                <w:sz w:val="10"/>
                <w:szCs w:val="10"/>
                <w:color w:val="auto"/>
              </w:rPr>
              <w:t>Change in ARO liability and property, plant and equipment</w:t>
            </w:r>
          </w:p>
        </w:tc>
        <w:tc>
          <w:tcPr>
            <w:tcW w:w="90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7.4</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2.1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12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Non-cash balance sheet movements related to acquisition of related party:</w:t>
            </w:r>
          </w:p>
        </w:tc>
        <w:tc>
          <w:tcPr>
            <w:tcW w:w="9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120" w:type="dxa"/>
            <w:vAlign w:val="bottom"/>
          </w:tcPr>
          <w:p>
            <w:pPr>
              <w:ind w:left="160"/>
              <w:spacing w:after="0" w:line="113" w:lineRule="exact"/>
              <w:rPr>
                <w:sz w:val="20"/>
                <w:szCs w:val="20"/>
                <w:color w:val="auto"/>
              </w:rPr>
            </w:pPr>
            <w:r>
              <w:rPr>
                <w:rFonts w:ascii="Arial" w:cs="Arial" w:eastAsia="Arial" w:hAnsi="Arial"/>
                <w:sz w:val="10"/>
                <w:szCs w:val="10"/>
                <w:color w:val="auto"/>
              </w:rPr>
              <w:t>Intercompany payable</w:t>
            </w:r>
          </w:p>
        </w:tc>
        <w:tc>
          <w:tcPr>
            <w:tcW w:w="900" w:type="dxa"/>
            <w:vAlign w:val="bottom"/>
          </w:tcPr>
          <w:p>
            <w:pPr>
              <w:jc w:val="right"/>
              <w:ind w:right="830"/>
              <w:spacing w:after="0"/>
              <w:rPr>
                <w:sz w:val="20"/>
                <w:szCs w:val="20"/>
                <w:color w:val="auto"/>
              </w:rPr>
            </w:pPr>
            <w:r>
              <w:rPr>
                <w:rFonts w:ascii="Arial" w:cs="Arial" w:eastAsia="Arial" w:hAnsi="Arial"/>
                <w:sz w:val="5"/>
                <w:szCs w:val="5"/>
                <w:color w:val="auto"/>
                <w:w w:val="70"/>
              </w:rPr>
              <w:t>$</w:t>
            </w:r>
          </w:p>
        </w:tc>
        <w:tc>
          <w:tcPr>
            <w:tcW w:w="76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55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1.4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12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Noncontrolling interest</w:t>
            </w:r>
          </w:p>
        </w:tc>
        <w:tc>
          <w:tcPr>
            <w:tcW w:w="90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1.2</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120" w:type="dxa"/>
            <w:vAlign w:val="bottom"/>
          </w:tcPr>
          <w:p>
            <w:pPr>
              <w:spacing w:after="0" w:line="113" w:lineRule="exact"/>
              <w:rPr>
                <w:sz w:val="20"/>
                <w:szCs w:val="20"/>
                <w:color w:val="auto"/>
              </w:rPr>
            </w:pPr>
            <w:r>
              <w:rPr>
                <w:rFonts w:ascii="Arial" w:cs="Arial" w:eastAsia="Arial" w:hAnsi="Arial"/>
                <w:sz w:val="10"/>
                <w:szCs w:val="10"/>
                <w:color w:val="auto"/>
              </w:rPr>
              <w:t>Lease liabilities arising from recognition of right-of-use assets:</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12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Operating lease</w:t>
            </w:r>
          </w:p>
        </w:tc>
        <w:tc>
          <w:tcPr>
            <w:tcW w:w="900" w:type="dxa"/>
            <w:vAlign w:val="bottom"/>
            <w:shd w:val="clear" w:color="auto" w:fill="CFF0FC"/>
          </w:tcPr>
          <w:p>
            <w:pPr>
              <w:jc w:val="right"/>
              <w:ind w:right="83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0.4</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50"/>
              <w:spacing w:after="0" w:line="113" w:lineRule="exact"/>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0"/>
        </w:trPr>
        <w:tc>
          <w:tcPr>
            <w:tcW w:w="8120" w:type="dxa"/>
            <w:vAlign w:val="bottom"/>
          </w:tcPr>
          <w:p>
            <w:pPr>
              <w:ind w:left="160"/>
              <w:spacing w:after="0" w:line="101" w:lineRule="exact"/>
              <w:rPr>
                <w:sz w:val="20"/>
                <w:szCs w:val="20"/>
                <w:color w:val="auto"/>
              </w:rPr>
            </w:pPr>
            <w:r>
              <w:rPr>
                <w:rFonts w:ascii="Arial" w:cs="Arial" w:eastAsia="Arial" w:hAnsi="Arial"/>
                <w:sz w:val="10"/>
                <w:szCs w:val="10"/>
                <w:color w:val="auto"/>
              </w:rPr>
              <w:t>Finance lease</w:t>
            </w:r>
          </w:p>
        </w:tc>
        <w:tc>
          <w:tcPr>
            <w:tcW w:w="900" w:type="dxa"/>
            <w:vAlign w:val="bottom"/>
          </w:tcPr>
          <w:p>
            <w:pPr>
              <w:spacing w:after="0"/>
              <w:rPr>
                <w:sz w:val="8"/>
                <w:szCs w:val="8"/>
                <w:color w:val="auto"/>
              </w:rPr>
            </w:pPr>
          </w:p>
        </w:tc>
        <w:tc>
          <w:tcPr>
            <w:tcW w:w="660" w:type="dxa"/>
            <w:vAlign w:val="bottom"/>
          </w:tcPr>
          <w:p>
            <w:pPr>
              <w:jc w:val="right"/>
              <w:spacing w:after="0" w:line="101" w:lineRule="exact"/>
              <w:rPr>
                <w:sz w:val="20"/>
                <w:szCs w:val="20"/>
                <w:color w:val="auto"/>
              </w:rPr>
            </w:pPr>
            <w:r>
              <w:rPr>
                <w:rFonts w:ascii="Arial" w:cs="Arial" w:eastAsia="Arial" w:hAnsi="Arial"/>
                <w:sz w:val="10"/>
                <w:szCs w:val="10"/>
                <w:color w:val="auto"/>
              </w:rPr>
              <w:t>1.5</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gridSpan w:val="2"/>
          </w:tcPr>
          <w:p>
            <w:pPr>
              <w:jc w:val="right"/>
              <w:ind w:right="140"/>
              <w:spacing w:after="0" w:line="10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1"/>
        </w:trPr>
        <w:tc>
          <w:tcPr>
            <w:tcW w:w="8120" w:type="dxa"/>
            <w:vAlign w:val="bottom"/>
          </w:tcPr>
          <w:p>
            <w:pPr>
              <w:spacing w:after="0" w:line="112" w:lineRule="exact"/>
              <w:rPr>
                <w:sz w:val="20"/>
                <w:szCs w:val="20"/>
                <w:color w:val="auto"/>
              </w:rPr>
            </w:pPr>
            <w:r>
              <w:rPr>
                <w:rFonts w:ascii="Arial" w:cs="Arial" w:eastAsia="Arial" w:hAnsi="Arial"/>
                <w:sz w:val="10"/>
                <w:szCs w:val="10"/>
                <w:color w:val="auto"/>
              </w:rPr>
              <w:t>__________________</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65" w:hanging="565"/>
        <w:spacing w:after="0"/>
        <w:tabs>
          <w:tab w:leader="none" w:pos="565"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Interest capitalized on major projects was $18.9 million and $9.6 million for the three months ended March 31, 2019 and 2018.</w:t>
      </w:r>
    </w:p>
    <w:p>
      <w:pPr>
        <w:spacing w:after="0" w:line="276"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32536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277" w:right="199" w:bottom="1440" w:gutter="0" w:footer="0" w:header="0"/>
        </w:sectPr>
      </w:pPr>
    </w:p>
    <w:bookmarkStart w:id="25" w:name="page26"/>
    <w:bookmarkEnd w:id="25"/>
    <w:p>
      <w:pPr>
        <w:ind w:left="5"/>
        <w:spacing w:after="0"/>
        <w:rPr>
          <w:sz w:val="20"/>
          <w:szCs w:val="20"/>
          <w:color w:val="auto"/>
        </w:rPr>
      </w:pPr>
      <w:r>
        <w:rPr>
          <w:rFonts w:ascii="Arial" w:cs="Arial" w:eastAsia="Arial" w:hAnsi="Arial"/>
          <w:sz w:val="13"/>
          <w:szCs w:val="13"/>
          <w:b w:val="1"/>
          <w:bCs w:val="1"/>
          <w:color w:val="auto"/>
        </w:rPr>
        <w:t>Note 19 — Segment Information</w:t>
      </w:r>
    </w:p>
    <w:p>
      <w:pPr>
        <w:spacing w:after="0" w:line="156" w:lineRule="exact"/>
        <w:rPr>
          <w:sz w:val="20"/>
          <w:szCs w:val="20"/>
          <w:color w:val="auto"/>
        </w:rPr>
      </w:pPr>
    </w:p>
    <w:p>
      <w:pPr>
        <w:jc w:val="both"/>
        <w:ind w:left="5" w:right="20"/>
        <w:spacing w:after="0" w:line="254" w:lineRule="auto"/>
        <w:rPr>
          <w:sz w:val="20"/>
          <w:szCs w:val="20"/>
          <w:color w:val="auto"/>
        </w:rPr>
      </w:pPr>
      <w:r>
        <w:rPr>
          <w:rFonts w:ascii="Arial" w:cs="Arial" w:eastAsia="Arial" w:hAnsi="Arial"/>
          <w:sz w:val="13"/>
          <w:szCs w:val="13"/>
          <w:color w:val="auto"/>
        </w:rPr>
        <w:t>We operate in two primary segments: (i) Gathering and Processing, and (ii) Logistics and Marketing (also referred to as the Downstream Business). Our reportable segments include operating segments that have been aggregated based on the nature of the products and services provided.</w:t>
      </w:r>
    </w:p>
    <w:p>
      <w:pPr>
        <w:spacing w:after="0" w:line="135" w:lineRule="exact"/>
        <w:rPr>
          <w:sz w:val="20"/>
          <w:szCs w:val="20"/>
          <w:color w:val="auto"/>
        </w:rPr>
      </w:pPr>
    </w:p>
    <w:p>
      <w:pPr>
        <w:jc w:val="both"/>
        <w:ind w:left="5"/>
        <w:spacing w:after="0" w:line="305" w:lineRule="auto"/>
        <w:rPr>
          <w:sz w:val="20"/>
          <w:szCs w:val="20"/>
          <w:color w:val="auto"/>
        </w:rPr>
      </w:pPr>
      <w:r>
        <w:rPr>
          <w:rFonts w:ascii="Arial" w:cs="Arial" w:eastAsia="Arial" w:hAnsi="Arial"/>
          <w:sz w:val="11"/>
          <w:szCs w:val="11"/>
          <w:color w:val="auto"/>
        </w:rPr>
        <w:t>Our Gathering and Processing segment includes assets used in the gathering of natural gas produced from oil and gas wells and processing this raw natural gas into merchantable natural gas by extracting NGLs and removing impurities; and assets used for crude oil gathering and terminaling. The Gathering and Processing segment's assets are located in the Permian Basin of West Texas and Southeast New Mexico (including the Midland and Delaware Basins); the Eagle Ford Shale in South Texas; the Barnett Shale in North Texas; the Anadarko, Ardmore, and Arkoma Basins in Oklahoma (including the SCOOP and STACK) and South Central Kansas; the Williston Basin in North Dakota; and the onshore and near offshore regions of the Louisiana Gulf Coast and the Gulf of Mexico.</w:t>
      </w:r>
    </w:p>
    <w:p>
      <w:pPr>
        <w:spacing w:after="0" w:line="110" w:lineRule="exact"/>
        <w:rPr>
          <w:sz w:val="20"/>
          <w:szCs w:val="20"/>
          <w:color w:val="auto"/>
        </w:rPr>
      </w:pPr>
    </w:p>
    <w:p>
      <w:pPr>
        <w:jc w:val="both"/>
        <w:ind w:left="5"/>
        <w:spacing w:after="0" w:line="244" w:lineRule="auto"/>
        <w:rPr>
          <w:sz w:val="20"/>
          <w:szCs w:val="20"/>
          <w:color w:val="auto"/>
        </w:rPr>
      </w:pPr>
      <w:r>
        <w:rPr>
          <w:rFonts w:ascii="Arial" w:cs="Arial" w:eastAsia="Arial" w:hAnsi="Arial"/>
          <w:sz w:val="13"/>
          <w:szCs w:val="13"/>
          <w:color w:val="auto"/>
        </w:rPr>
        <w:t>Our Logistics and Marketing segment includes the activities and assets necessary to convert mixed NGLs into NGL products and also includes other assets and value-added services such as storing, fractionating, terminaling, transporting and marketing of NGLs and NGL products, including services to LPG exporters; storing and terminaling of refined petroleum products and crude oil and certain natural gas supply and marketing activities in support of our other businesses. The Logistics and Marketing segment includes the Grand Prix pipeline, which is currently under construction with certain segments of the pipeline currently in operation. The associated assets are generally connected to and supplied in part by our Gathering and Processing segment and, except for the pipeline projects and smaller terminals, are located predominantly in Mont Belvieu and Galena Park, Texas, and in Lake Charles, Louisiana.</w:t>
      </w:r>
    </w:p>
    <w:p>
      <w:pPr>
        <w:spacing w:after="0" w:line="143" w:lineRule="exact"/>
        <w:rPr>
          <w:sz w:val="20"/>
          <w:szCs w:val="20"/>
          <w:color w:val="auto"/>
        </w:rPr>
      </w:pPr>
    </w:p>
    <w:p>
      <w:pPr>
        <w:jc w:val="both"/>
        <w:ind w:left="5" w:right="20"/>
        <w:spacing w:after="0" w:line="254" w:lineRule="auto"/>
        <w:rPr>
          <w:sz w:val="20"/>
          <w:szCs w:val="20"/>
          <w:color w:val="auto"/>
        </w:rPr>
      </w:pPr>
      <w:r>
        <w:rPr>
          <w:rFonts w:ascii="Arial" w:cs="Arial" w:eastAsia="Arial" w:hAnsi="Arial"/>
          <w:sz w:val="13"/>
          <w:szCs w:val="13"/>
          <w:color w:val="auto"/>
        </w:rPr>
        <w:t>Other contains the results of commodity derivative activities related to Gathering and Processing hedges of equity volumes that are included in operating margin and mark-to-market gains/losses related to derivative contracts that were not designated as cash flow hedges. Elimination of inter-segment transactions are reflected in the corporate and eliminations column.</w:t>
      </w:r>
    </w:p>
    <w:p>
      <w:pPr>
        <w:spacing w:after="0" w:line="135" w:lineRule="exact"/>
        <w:rPr>
          <w:sz w:val="20"/>
          <w:szCs w:val="20"/>
          <w:color w:val="auto"/>
        </w:rPr>
      </w:pPr>
    </w:p>
    <w:p>
      <w:pPr>
        <w:ind w:left="5"/>
        <w:spacing w:after="0"/>
        <w:rPr>
          <w:sz w:val="20"/>
          <w:szCs w:val="20"/>
          <w:color w:val="auto"/>
        </w:rPr>
      </w:pPr>
      <w:r>
        <w:rPr>
          <w:rFonts w:ascii="Arial" w:cs="Arial" w:eastAsia="Arial" w:hAnsi="Arial"/>
          <w:sz w:val="13"/>
          <w:szCs w:val="13"/>
          <w:color w:val="auto"/>
        </w:rPr>
        <w:t>Reportable segment information is shown in the following tables:</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42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0"/>
                <w:szCs w:val="10"/>
                <w:b w:val="1"/>
                <w:bCs w:val="1"/>
                <w:color w:val="auto"/>
              </w:rPr>
              <w:t>Three Months Ended March 31, 2019</w:t>
            </w: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gridSpan w:val="2"/>
          </w:tcPr>
          <w:p>
            <w:pPr>
              <w:jc w:val="center"/>
              <w:ind w:right="360"/>
              <w:spacing w:after="0" w:line="88" w:lineRule="exact"/>
              <w:rPr>
                <w:sz w:val="20"/>
                <w:szCs w:val="20"/>
                <w:color w:val="auto"/>
              </w:rPr>
            </w:pPr>
            <w:r>
              <w:rPr>
                <w:rFonts w:ascii="Arial" w:cs="Arial" w:eastAsia="Arial" w:hAnsi="Arial"/>
                <w:sz w:val="10"/>
                <w:szCs w:val="10"/>
                <w:b w:val="1"/>
                <w:bCs w:val="1"/>
                <w:color w:val="auto"/>
                <w:w w:val="91"/>
              </w:rPr>
              <w:t>Corporate</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4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2"/>
          </w:tcPr>
          <w:p>
            <w:pPr>
              <w:jc w:val="center"/>
              <w:ind w:right="360"/>
              <w:spacing w:after="0" w:line="104" w:lineRule="exact"/>
              <w:rPr>
                <w:sz w:val="20"/>
                <w:szCs w:val="20"/>
                <w:color w:val="auto"/>
              </w:rPr>
            </w:pPr>
            <w:r>
              <w:rPr>
                <w:rFonts w:ascii="Arial" w:cs="Arial" w:eastAsia="Arial" w:hAnsi="Arial"/>
                <w:sz w:val="10"/>
                <w:szCs w:val="10"/>
                <w:b w:val="1"/>
                <w:bCs w:val="1"/>
                <w:color w:val="auto"/>
                <w:w w:val="89"/>
              </w:rPr>
              <w:t>and</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260" w:type="dxa"/>
            <w:vAlign w:val="bottom"/>
            <w:vMerge w:val="restart"/>
          </w:tcPr>
          <w:p>
            <w:pPr>
              <w:spacing w:after="0"/>
              <w:rPr>
                <w:sz w:val="20"/>
                <w:szCs w:val="20"/>
                <w:color w:val="auto"/>
              </w:rPr>
            </w:pPr>
            <w:r>
              <w:rPr>
                <w:rFonts w:ascii="Arial" w:cs="Arial" w:eastAsia="Arial" w:hAnsi="Arial"/>
                <w:sz w:val="10"/>
                <w:szCs w:val="10"/>
                <w:color w:val="auto"/>
              </w:rPr>
              <w:t>Revenues</w:t>
            </w:r>
          </w:p>
        </w:tc>
        <w:tc>
          <w:tcPr>
            <w:tcW w:w="1400" w:type="dxa"/>
            <w:vAlign w:val="bottom"/>
            <w:gridSpan w:val="3"/>
          </w:tcPr>
          <w:p>
            <w:pPr>
              <w:ind w:left="20"/>
              <w:spacing w:after="0"/>
              <w:rPr>
                <w:sz w:val="20"/>
                <w:szCs w:val="20"/>
                <w:color w:val="auto"/>
              </w:rPr>
            </w:pPr>
            <w:r>
              <w:rPr>
                <w:rFonts w:ascii="Arial" w:cs="Arial" w:eastAsia="Arial" w:hAnsi="Arial"/>
                <w:sz w:val="10"/>
                <w:szCs w:val="10"/>
                <w:b w:val="1"/>
                <w:bCs w:val="1"/>
                <w:color w:val="auto"/>
              </w:rPr>
              <w:t>Gathering and Processing</w:t>
            </w:r>
          </w:p>
        </w:tc>
        <w:tc>
          <w:tcPr>
            <w:tcW w:w="40" w:type="dxa"/>
            <w:vAlign w:val="bottom"/>
          </w:tcPr>
          <w:p>
            <w:pPr>
              <w:spacing w:after="0"/>
              <w:rPr>
                <w:sz w:val="10"/>
                <w:szCs w:val="10"/>
                <w:color w:val="auto"/>
              </w:rPr>
            </w:pPr>
          </w:p>
        </w:tc>
        <w:tc>
          <w:tcPr>
            <w:tcW w:w="1120" w:type="dxa"/>
            <w:vAlign w:val="bottom"/>
          </w:tcPr>
          <w:p>
            <w:pPr>
              <w:jc w:val="right"/>
              <w:ind w:right="10"/>
              <w:spacing w:after="0"/>
              <w:rPr>
                <w:sz w:val="20"/>
                <w:szCs w:val="20"/>
                <w:color w:val="auto"/>
              </w:rPr>
            </w:pPr>
            <w:r>
              <w:rPr>
                <w:rFonts w:ascii="Arial" w:cs="Arial" w:eastAsia="Arial" w:hAnsi="Arial"/>
                <w:sz w:val="10"/>
                <w:szCs w:val="10"/>
                <w:b w:val="1"/>
                <w:bCs w:val="1"/>
                <w:color w:val="auto"/>
                <w:w w:val="90"/>
              </w:rPr>
              <w:t>Logistics and Marketing</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410"/>
              <w:spacing w:after="0"/>
              <w:rPr>
                <w:sz w:val="20"/>
                <w:szCs w:val="20"/>
                <w:color w:val="auto"/>
              </w:rPr>
            </w:pPr>
            <w:r>
              <w:rPr>
                <w:rFonts w:ascii="Arial" w:cs="Arial" w:eastAsia="Arial" w:hAnsi="Arial"/>
                <w:sz w:val="10"/>
                <w:szCs w:val="10"/>
                <w:b w:val="1"/>
                <w:bCs w:val="1"/>
                <w:color w:val="auto"/>
              </w:rPr>
              <w:t>Other</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0"/>
              </w:rPr>
              <w:t>Eliminations</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gridSpan w:val="2"/>
          </w:tcPr>
          <w:p>
            <w:pPr>
              <w:ind w:left="3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2"/>
        </w:trPr>
        <w:tc>
          <w:tcPr>
            <w:tcW w:w="4260" w:type="dxa"/>
            <w:vAlign w:val="bottom"/>
            <w:vMerge w:val="continue"/>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260" w:type="dxa"/>
            <w:vAlign w:val="bottom"/>
            <w:shd w:val="clear" w:color="auto" w:fill="CFF0FC"/>
          </w:tcPr>
          <w:p>
            <w:pPr>
              <w:ind w:left="340"/>
              <w:spacing w:after="0" w:line="113" w:lineRule="exact"/>
              <w:rPr>
                <w:sz w:val="20"/>
                <w:szCs w:val="20"/>
                <w:color w:val="auto"/>
              </w:rPr>
            </w:pPr>
            <w:r>
              <w:rPr>
                <w:rFonts w:ascii="Arial" w:cs="Arial" w:eastAsia="Arial" w:hAnsi="Arial"/>
                <w:sz w:val="10"/>
                <w:szCs w:val="10"/>
                <w:color w:val="auto"/>
              </w:rPr>
              <w:t>Sales of commodities</w:t>
            </w:r>
          </w:p>
        </w:tc>
        <w:tc>
          <w:tcPr>
            <w:tcW w:w="420" w:type="dxa"/>
            <w:vAlign w:val="bottom"/>
            <w:shd w:val="clear" w:color="auto" w:fill="CFF0FC"/>
          </w:tcPr>
          <w:p>
            <w:pPr>
              <w:jc w:val="right"/>
              <w:ind w:right="351"/>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247.6</w:t>
            </w:r>
          </w:p>
        </w:tc>
        <w:tc>
          <w:tcPr>
            <w:tcW w:w="240" w:type="dxa"/>
            <w:vAlign w:val="bottom"/>
            <w:shd w:val="clear" w:color="auto" w:fill="CFF0FC"/>
          </w:tcPr>
          <w:p>
            <w:pPr>
              <w:spacing w:after="0"/>
              <w:rPr>
                <w:sz w:val="9"/>
                <w:szCs w:val="9"/>
                <w:color w:val="auto"/>
              </w:rPr>
            </w:pP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1,726.8</w:t>
            </w:r>
          </w:p>
        </w:tc>
        <w:tc>
          <w:tcPr>
            <w:tcW w:w="480" w:type="dxa"/>
            <w:vAlign w:val="bottom"/>
            <w:gridSpan w:val="2"/>
            <w:shd w:val="clear" w:color="auto" w:fill="CFF0FC"/>
          </w:tcPr>
          <w:p>
            <w:pPr>
              <w:jc w:val="right"/>
              <w:ind w:right="130"/>
              <w:spacing w:after="0" w:line="113" w:lineRule="exact"/>
              <w:rPr>
                <w:sz w:val="20"/>
                <w:szCs w:val="20"/>
                <w:color w:val="auto"/>
              </w:rPr>
            </w:pPr>
            <w:r>
              <w:rPr>
                <w:rFonts w:ascii="Arial" w:cs="Arial" w:eastAsia="Arial" w:hAnsi="Arial"/>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2.1</w:t>
            </w:r>
          </w:p>
        </w:tc>
        <w:tc>
          <w:tcPr>
            <w:tcW w:w="460" w:type="dxa"/>
            <w:vAlign w:val="bottom"/>
            <w:gridSpan w:val="2"/>
            <w:shd w:val="clear" w:color="auto" w:fill="CFF0FC"/>
          </w:tcPr>
          <w:p>
            <w:pPr>
              <w:jc w:val="right"/>
              <w:ind w:right="110"/>
              <w:spacing w:after="0" w:line="113" w:lineRule="exact"/>
              <w:rPr>
                <w:sz w:val="20"/>
                <w:szCs w:val="20"/>
                <w:color w:val="auto"/>
              </w:rPr>
            </w:pPr>
            <w:r>
              <w:rPr>
                <w:rFonts w:ascii="Arial" w:cs="Arial" w:eastAsia="Arial" w:hAnsi="Arial"/>
                <w:sz w:val="10"/>
                <w:szCs w:val="10"/>
                <w:color w:val="auto"/>
              </w:rPr>
              <w:t>$</w:t>
            </w:r>
          </w:p>
        </w:tc>
        <w:tc>
          <w:tcPr>
            <w:tcW w:w="108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FF0FC"/>
          </w:tcPr>
          <w:p>
            <w:pPr>
              <w:jc w:val="right"/>
              <w:ind w:right="230"/>
              <w:spacing w:after="0" w:line="113" w:lineRule="exact"/>
              <w:rPr>
                <w:sz w:val="20"/>
                <w:szCs w:val="20"/>
                <w:color w:val="auto"/>
              </w:rPr>
            </w:pPr>
            <w:r>
              <w:rPr>
                <w:rFonts w:ascii="Arial" w:cs="Arial" w:eastAsia="Arial" w:hAnsi="Arial"/>
                <w:sz w:val="10"/>
                <w:szCs w:val="10"/>
                <w:color w:val="auto"/>
              </w:rPr>
              <w:t>$</w:t>
            </w:r>
          </w:p>
        </w:tc>
        <w:tc>
          <w:tcPr>
            <w:tcW w:w="11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1,976.5</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60" w:type="dxa"/>
            <w:vAlign w:val="bottom"/>
          </w:tcPr>
          <w:p>
            <w:pPr>
              <w:ind w:left="340"/>
              <w:spacing w:after="0" w:line="113" w:lineRule="exact"/>
              <w:rPr>
                <w:sz w:val="20"/>
                <w:szCs w:val="20"/>
                <w:color w:val="auto"/>
              </w:rPr>
            </w:pPr>
            <w:r>
              <w:rPr>
                <w:rFonts w:ascii="Arial" w:cs="Arial" w:eastAsia="Arial" w:hAnsi="Arial"/>
                <w:sz w:val="10"/>
                <w:szCs w:val="10"/>
                <w:color w:val="auto"/>
              </w:rPr>
              <w:t>Fees from midstream services</w:t>
            </w:r>
          </w:p>
        </w:tc>
        <w:tc>
          <w:tcPr>
            <w:tcW w:w="42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Arial" w:cs="Arial" w:eastAsia="Arial" w:hAnsi="Arial"/>
                <w:sz w:val="10"/>
                <w:szCs w:val="10"/>
                <w:color w:val="auto"/>
              </w:rPr>
              <w:t>199.9</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jc w:val="right"/>
              <w:spacing w:after="0" w:line="113" w:lineRule="exact"/>
              <w:rPr>
                <w:sz w:val="20"/>
                <w:szCs w:val="20"/>
                <w:color w:val="auto"/>
              </w:rPr>
            </w:pPr>
            <w:r>
              <w:rPr>
                <w:rFonts w:ascii="Arial" w:cs="Arial" w:eastAsia="Arial" w:hAnsi="Arial"/>
                <w:sz w:val="10"/>
                <w:szCs w:val="10"/>
                <w:color w:val="auto"/>
              </w:rPr>
              <w:t>123.0</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jc w:val="right"/>
              <w:spacing w:after="0" w:line="113" w:lineRule="exact"/>
              <w:rPr>
                <w:sz w:val="20"/>
                <w:szCs w:val="20"/>
                <w:color w:val="auto"/>
              </w:rPr>
            </w:pPr>
            <w:r>
              <w:rPr>
                <w:rFonts w:ascii="Arial" w:cs="Arial" w:eastAsia="Arial" w:hAnsi="Arial"/>
                <w:sz w:val="10"/>
                <w:szCs w:val="10"/>
                <w:color w:val="auto"/>
              </w:rPr>
              <w:t>322.9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60" w:type="dxa"/>
            <w:vAlign w:val="bottom"/>
            <w:tcBorders>
              <w:top w:val="single" w:sz="8" w:color="CFF0FC"/>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447.5</w:t>
            </w:r>
          </w:p>
        </w:tc>
        <w:tc>
          <w:tcPr>
            <w:tcW w:w="24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spacing w:after="0"/>
              <w:rPr>
                <w:sz w:val="8"/>
                <w:szCs w:val="8"/>
                <w:color w:val="auto"/>
              </w:rPr>
            </w:pPr>
          </w:p>
        </w:tc>
        <w:tc>
          <w:tcPr>
            <w:tcW w:w="11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1,849.8</w:t>
            </w:r>
          </w:p>
        </w:tc>
        <w:tc>
          <w:tcPr>
            <w:tcW w:w="24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9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2.1</w:t>
            </w:r>
          </w:p>
        </w:tc>
        <w:tc>
          <w:tcPr>
            <w:tcW w:w="240" w:type="dxa"/>
            <w:vAlign w:val="bottom"/>
            <w:tcBorders>
              <w:top w:val="single" w:sz="8" w:color="CFF0FC"/>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94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spacing w:after="0"/>
              <w:rPr>
                <w:sz w:val="8"/>
                <w:szCs w:val="8"/>
                <w:color w:val="auto"/>
              </w:rPr>
            </w:pPr>
          </w:p>
        </w:tc>
        <w:tc>
          <w:tcPr>
            <w:tcW w:w="11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2,299.4</w:t>
            </w: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260" w:type="dxa"/>
            <w:vAlign w:val="bottom"/>
          </w:tcPr>
          <w:p>
            <w:pPr>
              <w:spacing w:after="0" w:line="113" w:lineRule="exact"/>
              <w:rPr>
                <w:sz w:val="20"/>
                <w:szCs w:val="20"/>
                <w:color w:val="auto"/>
              </w:rPr>
            </w:pPr>
            <w:r>
              <w:rPr>
                <w:rFonts w:ascii="Arial" w:cs="Arial" w:eastAsia="Arial" w:hAnsi="Arial"/>
                <w:sz w:val="10"/>
                <w:szCs w:val="10"/>
                <w:color w:val="auto"/>
              </w:rPr>
              <w:t>Intersegment revenues</w:t>
            </w: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60" w:type="dxa"/>
            <w:vAlign w:val="bottom"/>
            <w:shd w:val="clear" w:color="auto" w:fill="CFF0FC"/>
          </w:tcPr>
          <w:p>
            <w:pPr>
              <w:ind w:left="340"/>
              <w:spacing w:after="0" w:line="113" w:lineRule="exact"/>
              <w:rPr>
                <w:sz w:val="20"/>
                <w:szCs w:val="20"/>
                <w:color w:val="auto"/>
              </w:rPr>
            </w:pPr>
            <w:r>
              <w:rPr>
                <w:rFonts w:ascii="Arial" w:cs="Arial" w:eastAsia="Arial" w:hAnsi="Arial"/>
                <w:sz w:val="10"/>
                <w:szCs w:val="10"/>
                <w:color w:val="auto"/>
              </w:rPr>
              <w:t>Sales of commodities</w:t>
            </w:r>
          </w:p>
        </w:tc>
        <w:tc>
          <w:tcPr>
            <w:tcW w:w="42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822.8</w:t>
            </w:r>
          </w:p>
        </w:tc>
        <w:tc>
          <w:tcPr>
            <w:tcW w:w="2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1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38.4</w:t>
            </w: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(861.2)</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8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4260" w:type="dxa"/>
            <w:vAlign w:val="bottom"/>
          </w:tcPr>
          <w:p>
            <w:pPr>
              <w:ind w:left="340"/>
              <w:spacing w:after="0" w:line="113" w:lineRule="exact"/>
              <w:rPr>
                <w:sz w:val="20"/>
                <w:szCs w:val="20"/>
                <w:color w:val="auto"/>
              </w:rPr>
            </w:pPr>
            <w:r>
              <w:rPr>
                <w:rFonts w:ascii="Arial" w:cs="Arial" w:eastAsia="Arial" w:hAnsi="Arial"/>
                <w:sz w:val="10"/>
                <w:szCs w:val="10"/>
                <w:color w:val="auto"/>
              </w:rPr>
              <w:t>Fees from midstream services</w:t>
            </w:r>
          </w:p>
        </w:tc>
        <w:tc>
          <w:tcPr>
            <w:tcW w:w="42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Arial" w:cs="Arial" w:eastAsia="Arial" w:hAnsi="Arial"/>
                <w:sz w:val="10"/>
                <w:szCs w:val="10"/>
                <w:color w:val="auto"/>
              </w:rPr>
              <w:t>1.9</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jc w:val="right"/>
              <w:spacing w:after="0" w:line="113" w:lineRule="exact"/>
              <w:rPr>
                <w:sz w:val="20"/>
                <w:szCs w:val="20"/>
                <w:color w:val="auto"/>
              </w:rPr>
            </w:pPr>
            <w:r>
              <w:rPr>
                <w:rFonts w:ascii="Arial" w:cs="Arial" w:eastAsia="Arial" w:hAnsi="Arial"/>
                <w:sz w:val="10"/>
                <w:szCs w:val="10"/>
                <w:color w:val="auto"/>
              </w:rPr>
              <w:t>5.5</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(7.4)</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74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824.7</w:t>
            </w:r>
          </w:p>
        </w:tc>
        <w:tc>
          <w:tcPr>
            <w:tcW w:w="2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43.9</w:t>
            </w:r>
          </w:p>
        </w:tc>
        <w:tc>
          <w:tcPr>
            <w:tcW w:w="2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80" w:type="dxa"/>
            <w:vAlign w:val="bottom"/>
            <w:gridSpan w:val="2"/>
            <w:shd w:val="clear" w:color="auto" w:fill="CFF0FC"/>
          </w:tcPr>
          <w:p>
            <w:pPr>
              <w:jc w:val="right"/>
              <w:ind w:right="100"/>
              <w:spacing w:after="0" w:line="103" w:lineRule="exact"/>
              <w:rPr>
                <w:sz w:val="20"/>
                <w:szCs w:val="20"/>
                <w:color w:val="auto"/>
              </w:rPr>
            </w:pPr>
            <w:r>
              <w:rPr>
                <w:rFonts w:ascii="Arial" w:cs="Arial" w:eastAsia="Arial" w:hAnsi="Arial"/>
                <w:sz w:val="10"/>
                <w:szCs w:val="10"/>
                <w:color w:val="auto"/>
              </w:rPr>
              <w:t>(868.6)</w:t>
            </w: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1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w:t>
            </w:r>
          </w:p>
        </w:tc>
        <w:tc>
          <w:tcPr>
            <w:tcW w:w="1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160"/>
              <w:spacing w:after="0"/>
              <w:rPr>
                <w:sz w:val="20"/>
                <w:szCs w:val="20"/>
                <w:color w:val="auto"/>
              </w:rPr>
            </w:pPr>
            <w:r>
              <w:rPr>
                <w:rFonts w:ascii="Arial" w:cs="Arial" w:eastAsia="Arial" w:hAnsi="Arial"/>
                <w:sz w:val="10"/>
                <w:szCs w:val="10"/>
                <w:color w:val="auto"/>
              </w:rPr>
              <w:t>Revenues</w:t>
            </w: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260" w:type="dxa"/>
            <w:vAlign w:val="bottom"/>
            <w:vMerge w:val="continue"/>
          </w:tcPr>
          <w:p>
            <w:pPr>
              <w:spacing w:after="0"/>
              <w:rPr>
                <w:sz w:val="9"/>
                <w:szCs w:val="9"/>
                <w:color w:val="auto"/>
              </w:rPr>
            </w:pPr>
          </w:p>
        </w:tc>
        <w:tc>
          <w:tcPr>
            <w:tcW w:w="420" w:type="dxa"/>
            <w:vAlign w:val="bottom"/>
          </w:tcPr>
          <w:p>
            <w:pPr>
              <w:jc w:val="right"/>
              <w:ind w:right="351"/>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line="103" w:lineRule="exact"/>
              <w:rPr>
                <w:sz w:val="20"/>
                <w:szCs w:val="20"/>
                <w:color w:val="auto"/>
              </w:rPr>
            </w:pPr>
            <w:r>
              <w:rPr>
                <w:rFonts w:ascii="Arial" w:cs="Arial" w:eastAsia="Arial" w:hAnsi="Arial"/>
                <w:sz w:val="10"/>
                <w:szCs w:val="10"/>
                <w:color w:val="auto"/>
              </w:rPr>
              <w:t>1,272.2</w:t>
            </w:r>
          </w:p>
        </w:tc>
        <w:tc>
          <w:tcPr>
            <w:tcW w:w="24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spacing w:after="0" w:line="103" w:lineRule="exact"/>
              <w:rPr>
                <w:sz w:val="20"/>
                <w:szCs w:val="20"/>
                <w:color w:val="auto"/>
              </w:rPr>
            </w:pPr>
            <w:r>
              <w:rPr>
                <w:rFonts w:ascii="Arial" w:cs="Arial" w:eastAsia="Arial" w:hAnsi="Arial"/>
                <w:sz w:val="10"/>
                <w:szCs w:val="10"/>
                <w:color w:val="auto"/>
              </w:rPr>
              <w:t>1,893.7</w:t>
            </w:r>
          </w:p>
        </w:tc>
        <w:tc>
          <w:tcPr>
            <w:tcW w:w="240" w:type="dxa"/>
            <w:vAlign w:val="bottom"/>
            <w:vMerge w:val="continue"/>
          </w:tcPr>
          <w:p>
            <w:pPr>
              <w:spacing w:after="0"/>
              <w:rPr>
                <w:sz w:val="9"/>
                <w:szCs w:val="9"/>
                <w:color w:val="auto"/>
              </w:rPr>
            </w:pPr>
          </w:p>
        </w:tc>
        <w:tc>
          <w:tcPr>
            <w:tcW w:w="240" w:type="dxa"/>
            <w:vAlign w:val="bottom"/>
          </w:tcPr>
          <w:p>
            <w:pPr>
              <w:jc w:val="right"/>
              <w:ind w:right="130"/>
              <w:spacing w:after="0" w:line="103" w:lineRule="exact"/>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03" w:lineRule="exact"/>
              <w:rPr>
                <w:sz w:val="20"/>
                <w:szCs w:val="20"/>
                <w:color w:val="auto"/>
              </w:rPr>
            </w:pPr>
            <w:r>
              <w:rPr>
                <w:rFonts w:ascii="Arial" w:cs="Arial" w:eastAsia="Arial" w:hAnsi="Arial"/>
                <w:sz w:val="10"/>
                <w:szCs w:val="10"/>
                <w:color w:val="auto"/>
              </w:rPr>
              <w:t>2.1</w:t>
            </w:r>
          </w:p>
        </w:tc>
        <w:tc>
          <w:tcPr>
            <w:tcW w:w="240" w:type="dxa"/>
            <w:vAlign w:val="bottom"/>
            <w:vMerge w:val="continue"/>
          </w:tcPr>
          <w:p>
            <w:pPr>
              <w:spacing w:after="0"/>
              <w:rPr>
                <w:sz w:val="9"/>
                <w:szCs w:val="9"/>
                <w:color w:val="auto"/>
              </w:rPr>
            </w:pPr>
          </w:p>
        </w:tc>
        <w:tc>
          <w:tcPr>
            <w:tcW w:w="220" w:type="dxa"/>
            <w:vAlign w:val="bottom"/>
          </w:tcPr>
          <w:p>
            <w:pPr>
              <w:jc w:val="right"/>
              <w:ind w:right="110"/>
              <w:spacing w:after="0" w:line="103" w:lineRule="exact"/>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line="103" w:lineRule="exact"/>
              <w:rPr>
                <w:sz w:val="20"/>
                <w:szCs w:val="20"/>
                <w:color w:val="auto"/>
              </w:rPr>
            </w:pPr>
            <w:r>
              <w:rPr>
                <w:rFonts w:ascii="Arial" w:cs="Arial" w:eastAsia="Arial" w:hAnsi="Arial"/>
                <w:sz w:val="10"/>
                <w:szCs w:val="10"/>
                <w:color w:val="auto"/>
              </w:rPr>
              <w:t>(868.6)</w:t>
            </w:r>
          </w:p>
        </w:tc>
        <w:tc>
          <w:tcPr>
            <w:tcW w:w="100" w:type="dxa"/>
            <w:vAlign w:val="bottom"/>
            <w:vMerge w:val="continue"/>
          </w:tcPr>
          <w:p>
            <w:pPr>
              <w:spacing w:after="0"/>
              <w:rPr>
                <w:sz w:val="9"/>
                <w:szCs w:val="9"/>
                <w:color w:val="auto"/>
              </w:rPr>
            </w:pPr>
          </w:p>
        </w:tc>
        <w:tc>
          <w:tcPr>
            <w:tcW w:w="340" w:type="dxa"/>
            <w:vAlign w:val="bottom"/>
          </w:tcPr>
          <w:p>
            <w:pPr>
              <w:jc w:val="right"/>
              <w:ind w:right="230"/>
              <w:spacing w:after="0" w:line="103" w:lineRule="exact"/>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03" w:lineRule="exact"/>
              <w:rPr>
                <w:sz w:val="20"/>
                <w:szCs w:val="20"/>
                <w:color w:val="auto"/>
              </w:rPr>
            </w:pPr>
            <w:r>
              <w:rPr>
                <w:rFonts w:ascii="Arial" w:cs="Arial" w:eastAsia="Arial" w:hAnsi="Arial"/>
                <w:sz w:val="10"/>
                <w:szCs w:val="10"/>
                <w:color w:val="auto"/>
              </w:rPr>
              <w:t>2,299.4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260" w:type="dxa"/>
            <w:vAlign w:val="bottom"/>
            <w:tcBorders>
              <w:top w:val="single" w:sz="8" w:color="CFF0FC"/>
              <w:bottom w:val="single" w:sz="8" w:color="CFF0FC"/>
            </w:tcBorders>
            <w:shd w:val="clear" w:color="auto" w:fill="CFF0FC"/>
          </w:tcPr>
          <w:p>
            <w:pPr>
              <w:ind w:left="160"/>
              <w:spacing w:after="0" w:line="113" w:lineRule="exact"/>
              <w:rPr>
                <w:sz w:val="20"/>
                <w:szCs w:val="20"/>
                <w:color w:val="auto"/>
              </w:rPr>
            </w:pPr>
            <w:r>
              <w:rPr>
                <w:rFonts w:ascii="Arial" w:cs="Arial" w:eastAsia="Arial" w:hAnsi="Arial"/>
                <w:sz w:val="10"/>
                <w:szCs w:val="10"/>
                <w:color w:val="auto"/>
              </w:rPr>
              <w:t>Operating margin</w:t>
            </w:r>
          </w:p>
        </w:tc>
        <w:tc>
          <w:tcPr>
            <w:tcW w:w="420" w:type="dxa"/>
            <w:vAlign w:val="bottom"/>
            <w:tcBorders>
              <w:top w:val="single" w:sz="8" w:color="auto"/>
              <w:bottom w:val="single" w:sz="8" w:color="auto"/>
            </w:tcBorders>
            <w:shd w:val="clear" w:color="auto" w:fill="CFF0FC"/>
          </w:tcPr>
          <w:p>
            <w:pPr>
              <w:jc w:val="right"/>
              <w:ind w:right="351"/>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229.0</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152.1</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240" w:type="dxa"/>
            <w:vAlign w:val="bottom"/>
            <w:tcBorders>
              <w:top w:val="single" w:sz="8" w:color="auto"/>
              <w:bottom w:val="single" w:sz="8" w:color="auto"/>
            </w:tcBorders>
            <w:shd w:val="clear" w:color="auto" w:fill="CFF0FC"/>
          </w:tcPr>
          <w:p>
            <w:pPr>
              <w:jc w:val="right"/>
              <w:ind w:right="13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2.1</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220" w:type="dxa"/>
            <w:vAlign w:val="bottom"/>
            <w:tcBorders>
              <w:top w:val="single" w:sz="8" w:color="auto"/>
              <w:bottom w:val="single" w:sz="8" w:color="auto"/>
            </w:tcBorders>
            <w:shd w:val="clear" w:color="auto" w:fill="CFF0FC"/>
          </w:tcPr>
          <w:p>
            <w:pPr>
              <w:jc w:val="right"/>
              <w:ind w:right="110"/>
              <w:spacing w:after="0" w:line="113"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340" w:type="dxa"/>
            <w:vAlign w:val="bottom"/>
            <w:tcBorders>
              <w:top w:val="single" w:sz="8" w:color="auto"/>
              <w:bottom w:val="single" w:sz="8" w:color="auto"/>
            </w:tcBorders>
            <w:shd w:val="clear" w:color="auto" w:fill="CFF0FC"/>
          </w:tcPr>
          <w:p>
            <w:pPr>
              <w:jc w:val="right"/>
              <w:ind w:right="230"/>
              <w:spacing w:after="0" w:line="113" w:lineRule="exact"/>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383.2</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260" w:type="dxa"/>
            <w:vAlign w:val="bottom"/>
          </w:tcPr>
          <w:p>
            <w:pPr>
              <w:spacing w:after="0" w:line="102" w:lineRule="exact"/>
              <w:rPr>
                <w:sz w:val="20"/>
                <w:szCs w:val="20"/>
                <w:color w:val="auto"/>
              </w:rPr>
            </w:pPr>
            <w:r>
              <w:rPr>
                <w:rFonts w:ascii="Arial" w:cs="Arial" w:eastAsia="Arial" w:hAnsi="Arial"/>
                <w:sz w:val="10"/>
                <w:szCs w:val="10"/>
                <w:color w:val="auto"/>
              </w:rPr>
              <w:t>Other financial information:</w:t>
            </w: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26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Total assets (1)</w:t>
            </w:r>
          </w:p>
        </w:tc>
        <w:tc>
          <w:tcPr>
            <w:tcW w:w="420" w:type="dxa"/>
            <w:vAlign w:val="bottom"/>
            <w:shd w:val="clear" w:color="auto" w:fill="CFF0FC"/>
          </w:tcPr>
          <w:p>
            <w:pPr>
              <w:jc w:val="right"/>
              <w:ind w:right="351"/>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11,713.9</w:t>
            </w: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5,644.9</w:t>
            </w:r>
          </w:p>
        </w:tc>
        <w:tc>
          <w:tcPr>
            <w:tcW w:w="480" w:type="dxa"/>
            <w:vAlign w:val="bottom"/>
            <w:gridSpan w:val="2"/>
            <w:shd w:val="clear" w:color="auto" w:fill="CFF0FC"/>
          </w:tcPr>
          <w:p>
            <w:pPr>
              <w:jc w:val="right"/>
              <w:ind w:right="130"/>
              <w:spacing w:after="0" w:line="113" w:lineRule="exact"/>
              <w:rPr>
                <w:sz w:val="20"/>
                <w:szCs w:val="20"/>
                <w:color w:val="auto"/>
              </w:rPr>
            </w:pPr>
            <w:r>
              <w:rPr>
                <w:rFonts w:ascii="Arial" w:cs="Arial" w:eastAsia="Arial" w:hAnsi="Arial"/>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87.9</w:t>
            </w:r>
          </w:p>
        </w:tc>
        <w:tc>
          <w:tcPr>
            <w:tcW w:w="460" w:type="dxa"/>
            <w:vAlign w:val="bottom"/>
            <w:gridSpan w:val="2"/>
            <w:shd w:val="clear" w:color="auto" w:fill="CFF0FC"/>
          </w:tcPr>
          <w:p>
            <w:pPr>
              <w:jc w:val="right"/>
              <w:ind w:right="110"/>
              <w:spacing w:after="0" w:line="113" w:lineRule="exact"/>
              <w:rPr>
                <w:sz w:val="20"/>
                <w:szCs w:val="20"/>
                <w:color w:val="auto"/>
              </w:rPr>
            </w:pPr>
            <w:r>
              <w:rPr>
                <w:rFonts w:ascii="Arial" w:cs="Arial" w:eastAsia="Arial" w:hAnsi="Arial"/>
                <w:sz w:val="10"/>
                <w:szCs w:val="10"/>
                <w:color w:val="auto"/>
              </w:rPr>
              <w:t>$</w:t>
            </w:r>
          </w:p>
        </w:tc>
        <w:tc>
          <w:tcPr>
            <w:tcW w:w="9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84.3</w:t>
            </w:r>
          </w:p>
        </w:tc>
        <w:tc>
          <w:tcPr>
            <w:tcW w:w="14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230"/>
              <w:spacing w:after="0" w:line="113" w:lineRule="exact"/>
              <w:rPr>
                <w:sz w:val="20"/>
                <w:szCs w:val="20"/>
                <w:color w:val="auto"/>
              </w:rPr>
            </w:pPr>
            <w:r>
              <w:rPr>
                <w:rFonts w:ascii="Arial" w:cs="Arial" w:eastAsia="Arial" w:hAnsi="Arial"/>
                <w:sz w:val="10"/>
                <w:szCs w:val="10"/>
                <w:color w:val="auto"/>
              </w:rPr>
              <w:t>$</w:t>
            </w:r>
          </w:p>
        </w:tc>
        <w:tc>
          <w:tcPr>
            <w:tcW w:w="11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17,531.0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260" w:type="dxa"/>
            <w:vAlign w:val="bottom"/>
            <w:tcBorders>
              <w:top w:val="single" w:sz="8" w:color="CFF0FC"/>
              <w:bottom w:val="single" w:sz="8" w:color="CFF0FC"/>
            </w:tcBorders>
          </w:tcPr>
          <w:p>
            <w:pPr>
              <w:ind w:left="160"/>
              <w:spacing w:after="0" w:line="102" w:lineRule="exact"/>
              <w:rPr>
                <w:sz w:val="20"/>
                <w:szCs w:val="20"/>
                <w:color w:val="auto"/>
              </w:rPr>
            </w:pPr>
            <w:r>
              <w:rPr>
                <w:rFonts w:ascii="Arial" w:cs="Arial" w:eastAsia="Arial" w:hAnsi="Arial"/>
                <w:sz w:val="10"/>
                <w:szCs w:val="10"/>
                <w:color w:val="auto"/>
              </w:rPr>
              <w:t>Goodwill</w:t>
            </w:r>
          </w:p>
        </w:tc>
        <w:tc>
          <w:tcPr>
            <w:tcW w:w="4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46.6</w:t>
            </w:r>
          </w:p>
        </w:tc>
        <w:tc>
          <w:tcPr>
            <w:tcW w:w="240" w:type="dxa"/>
            <w:vAlign w:val="bottom"/>
            <w:tcBorders>
              <w:top w:val="single" w:sz="8" w:color="CFF0FC"/>
              <w:bottom w:val="single" w:sz="8" w:color="CFF0FC"/>
            </w:tcBorders>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w:t>
            </w:r>
          </w:p>
        </w:tc>
        <w:tc>
          <w:tcPr>
            <w:tcW w:w="240" w:type="dxa"/>
            <w:vAlign w:val="bottom"/>
            <w:tcBorders>
              <w:top w:val="single" w:sz="8" w:color="CFF0FC"/>
              <w:bottom w:val="single" w:sz="8" w:color="CFF0FC"/>
            </w:tcBorders>
          </w:tcPr>
          <w:p>
            <w:pPr>
              <w:spacing w:after="0"/>
              <w:rPr>
                <w:sz w:val="9"/>
                <w:szCs w:val="9"/>
                <w:color w:val="auto"/>
              </w:rPr>
            </w:pPr>
          </w:p>
        </w:tc>
        <w:tc>
          <w:tcPr>
            <w:tcW w:w="240" w:type="dxa"/>
            <w:vAlign w:val="bottom"/>
            <w:tcBorders>
              <w:top w:val="single" w:sz="8" w:color="auto"/>
              <w:bottom w:val="single" w:sz="8" w:color="auto"/>
            </w:tcBorders>
          </w:tcPr>
          <w:p>
            <w:pPr>
              <w:jc w:val="right"/>
              <w:ind w:right="130"/>
              <w:spacing w:after="0" w:line="102" w:lineRule="exact"/>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w:t>
            </w:r>
          </w:p>
        </w:tc>
        <w:tc>
          <w:tcPr>
            <w:tcW w:w="240" w:type="dxa"/>
            <w:vAlign w:val="bottom"/>
            <w:tcBorders>
              <w:top w:val="single" w:sz="8" w:color="CFF0FC"/>
              <w:bottom w:val="single" w:sz="8" w:color="CFF0FC"/>
            </w:tcBorders>
          </w:tcPr>
          <w:p>
            <w:pPr>
              <w:spacing w:after="0"/>
              <w:rPr>
                <w:sz w:val="9"/>
                <w:szCs w:val="9"/>
                <w:color w:val="auto"/>
              </w:rPr>
            </w:pPr>
          </w:p>
        </w:tc>
        <w:tc>
          <w:tcPr>
            <w:tcW w:w="220" w:type="dxa"/>
            <w:vAlign w:val="bottom"/>
            <w:tcBorders>
              <w:top w:val="single" w:sz="8" w:color="auto"/>
              <w:bottom w:val="single" w:sz="8" w:color="auto"/>
            </w:tcBorders>
          </w:tcPr>
          <w:p>
            <w:pPr>
              <w:jc w:val="right"/>
              <w:ind w:right="110"/>
              <w:spacing w:after="0" w:line="102"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FF0FC"/>
              <w:bottom w:val="single" w:sz="8" w:color="CFF0FC"/>
            </w:tcBorders>
          </w:tcPr>
          <w:p>
            <w:pPr>
              <w:spacing w:after="0"/>
              <w:rPr>
                <w:sz w:val="9"/>
                <w:szCs w:val="9"/>
                <w:color w:val="auto"/>
              </w:rPr>
            </w:pPr>
          </w:p>
        </w:tc>
        <w:tc>
          <w:tcPr>
            <w:tcW w:w="100" w:type="dxa"/>
            <w:vAlign w:val="bottom"/>
            <w:tcBorders>
              <w:top w:val="single" w:sz="8" w:color="CFF0FC"/>
              <w:bottom w:val="single" w:sz="8" w:color="CFF0FC"/>
            </w:tcBorders>
          </w:tcPr>
          <w:p>
            <w:pPr>
              <w:spacing w:after="0"/>
              <w:rPr>
                <w:sz w:val="9"/>
                <w:szCs w:val="9"/>
                <w:color w:val="auto"/>
              </w:rPr>
            </w:pPr>
          </w:p>
        </w:tc>
        <w:tc>
          <w:tcPr>
            <w:tcW w:w="340" w:type="dxa"/>
            <w:vAlign w:val="bottom"/>
            <w:tcBorders>
              <w:top w:val="single" w:sz="8" w:color="auto"/>
              <w:bottom w:val="single" w:sz="8" w:color="auto"/>
            </w:tcBorders>
          </w:tcPr>
          <w:p>
            <w:pPr>
              <w:jc w:val="right"/>
              <w:ind w:right="230"/>
              <w:spacing w:after="0" w:line="102" w:lineRule="exact"/>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46.6</w:t>
            </w:r>
          </w:p>
        </w:tc>
        <w:tc>
          <w:tcPr>
            <w:tcW w:w="120" w:type="dxa"/>
            <w:vAlign w:val="bottom"/>
            <w:tcBorders>
              <w:top w:val="single" w:sz="8" w:color="CFF0FC"/>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60" w:type="dxa"/>
            <w:vAlign w:val="bottom"/>
            <w:tcBorders>
              <w:bottom w:val="single" w:sz="8" w:color="CFF0FC"/>
            </w:tcBorders>
            <w:shd w:val="clear" w:color="auto" w:fill="CFF0FC"/>
          </w:tcPr>
          <w:p>
            <w:pPr>
              <w:ind w:left="160"/>
              <w:spacing w:after="0" w:line="113" w:lineRule="exact"/>
              <w:rPr>
                <w:sz w:val="20"/>
                <w:szCs w:val="20"/>
                <w:color w:val="auto"/>
              </w:rPr>
            </w:pPr>
            <w:r>
              <w:rPr>
                <w:rFonts w:ascii="Arial" w:cs="Arial" w:eastAsia="Arial" w:hAnsi="Arial"/>
                <w:sz w:val="10"/>
                <w:szCs w:val="10"/>
                <w:color w:val="auto"/>
              </w:rPr>
              <w:t>Capital expenditures</w:t>
            </w:r>
          </w:p>
        </w:tc>
        <w:tc>
          <w:tcPr>
            <w:tcW w:w="420" w:type="dxa"/>
            <w:vAlign w:val="bottom"/>
            <w:tcBorders>
              <w:bottom w:val="single" w:sz="8" w:color="auto"/>
            </w:tcBorders>
            <w:shd w:val="clear" w:color="auto" w:fill="CFF0FC"/>
          </w:tcPr>
          <w:p>
            <w:pPr>
              <w:jc w:val="right"/>
              <w:ind w:right="351"/>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417.8</w:t>
            </w:r>
          </w:p>
        </w:tc>
        <w:tc>
          <w:tcPr>
            <w:tcW w:w="24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470.9</w:t>
            </w:r>
          </w:p>
        </w:tc>
        <w:tc>
          <w:tcPr>
            <w:tcW w:w="24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jc w:val="right"/>
              <w:ind w:right="13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24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jc w:val="right"/>
              <w:ind w:right="110"/>
              <w:spacing w:after="0" w:line="113" w:lineRule="exact"/>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16.9</w:t>
            </w:r>
          </w:p>
        </w:tc>
        <w:tc>
          <w:tcPr>
            <w:tcW w:w="1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auto"/>
            </w:tcBorders>
            <w:shd w:val="clear" w:color="auto" w:fill="CFF0FC"/>
          </w:tcPr>
          <w:p>
            <w:pPr>
              <w:jc w:val="right"/>
              <w:ind w:right="230"/>
              <w:spacing w:after="0" w:line="113" w:lineRule="exact"/>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905.6</w:t>
            </w:r>
          </w:p>
        </w:tc>
        <w:tc>
          <w:tcPr>
            <w:tcW w:w="1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260" w:type="dxa"/>
            <w:vAlign w:val="bottom"/>
          </w:tcPr>
          <w:p>
            <w:pPr>
              <w:ind w:left="20"/>
              <w:spacing w:after="0" w:line="32" w:lineRule="exact"/>
              <w:rPr>
                <w:sz w:val="20"/>
                <w:szCs w:val="20"/>
                <w:color w:val="auto"/>
              </w:rPr>
            </w:pPr>
            <w:r>
              <w:rPr>
                <w:rFonts w:ascii="Arial" w:cs="Arial" w:eastAsia="Arial" w:hAnsi="Arial"/>
                <w:sz w:val="3"/>
                <w:szCs w:val="3"/>
                <w:color w:val="auto"/>
              </w:rPr>
              <w:t>__________________________________________________________________________________________</w:t>
            </w: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85" w:hanging="385"/>
        <w:spacing w:after="0"/>
        <w:tabs>
          <w:tab w:leader="none" w:pos="385" w:val="left"/>
        </w:tabs>
        <w:numPr>
          <w:ilvl w:val="0"/>
          <w:numId w:val="16"/>
        </w:numPr>
        <w:rPr>
          <w:rFonts w:ascii="Arial" w:cs="Arial" w:eastAsia="Arial" w:hAnsi="Arial"/>
          <w:sz w:val="10"/>
          <w:szCs w:val="10"/>
          <w:color w:val="auto"/>
        </w:rPr>
      </w:pPr>
      <w:r>
        <w:rPr>
          <w:rFonts w:ascii="Arial" w:cs="Arial" w:eastAsia="Arial" w:hAnsi="Arial"/>
          <w:sz w:val="10"/>
          <w:szCs w:val="10"/>
          <w:color w:val="auto"/>
        </w:rPr>
        <w:t>Assets in the Corporate and Eliminations column primarily include cash, prepaids and debt issuance costs for our TRP Revolver.</w:t>
      </w:r>
    </w:p>
    <w:p>
      <w:pPr>
        <w:spacing w:after="0" w:line="34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32536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277" w:right="199" w:bottom="1440" w:gutter="0" w:footer="0" w:header="0"/>
        </w:sectPr>
      </w:pPr>
    </w:p>
    <w:bookmarkStart w:id="26" w:name="page27"/>
    <w:bookmarkEnd w:id="26"/>
    <w:tbl>
      <w:tblPr>
        <w:tblLayout w:type="fixed"/>
        <w:tblInd w:w="5" w:type="dxa"/>
        <w:tblCellMar>
          <w:top w:w="0" w:type="dxa"/>
          <w:left w:w="0" w:type="dxa"/>
          <w:bottom w:w="0" w:type="dxa"/>
          <w:right w:w="0" w:type="dxa"/>
        </w:tblCellMar>
      </w:tblPr>
      <w:tr>
        <w:trPr>
          <w:trHeight w:val="118"/>
        </w:trPr>
        <w:tc>
          <w:tcPr>
            <w:tcW w:w="42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0"/>
                <w:szCs w:val="10"/>
                <w:b w:val="1"/>
                <w:bCs w:val="1"/>
                <w:color w:val="auto"/>
              </w:rPr>
              <w:t>Three Months Ended March 31, 2018</w:t>
            </w: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gridSpan w:val="2"/>
          </w:tcPr>
          <w:p>
            <w:pPr>
              <w:jc w:val="center"/>
              <w:ind w:right="360"/>
              <w:spacing w:after="0" w:line="88" w:lineRule="exact"/>
              <w:rPr>
                <w:sz w:val="20"/>
                <w:szCs w:val="20"/>
                <w:color w:val="auto"/>
              </w:rPr>
            </w:pPr>
            <w:r>
              <w:rPr>
                <w:rFonts w:ascii="Arial" w:cs="Arial" w:eastAsia="Arial" w:hAnsi="Arial"/>
                <w:sz w:val="10"/>
                <w:szCs w:val="10"/>
                <w:b w:val="1"/>
                <w:bCs w:val="1"/>
                <w:color w:val="auto"/>
                <w:w w:val="91"/>
              </w:rPr>
              <w:t>Corporate</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4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2"/>
          </w:tcPr>
          <w:p>
            <w:pPr>
              <w:jc w:val="center"/>
              <w:ind w:right="360"/>
              <w:spacing w:after="0" w:line="104" w:lineRule="exact"/>
              <w:rPr>
                <w:sz w:val="20"/>
                <w:szCs w:val="20"/>
                <w:color w:val="auto"/>
              </w:rPr>
            </w:pPr>
            <w:r>
              <w:rPr>
                <w:rFonts w:ascii="Arial" w:cs="Arial" w:eastAsia="Arial" w:hAnsi="Arial"/>
                <w:sz w:val="10"/>
                <w:szCs w:val="10"/>
                <w:b w:val="1"/>
                <w:bCs w:val="1"/>
                <w:color w:val="auto"/>
                <w:w w:val="89"/>
              </w:rPr>
              <w:t>and</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260" w:type="dxa"/>
            <w:vAlign w:val="bottom"/>
            <w:vMerge w:val="restart"/>
          </w:tcPr>
          <w:p>
            <w:pPr>
              <w:spacing w:after="0"/>
              <w:rPr>
                <w:sz w:val="20"/>
                <w:szCs w:val="20"/>
                <w:color w:val="auto"/>
              </w:rPr>
            </w:pPr>
            <w:r>
              <w:rPr>
                <w:rFonts w:ascii="Arial" w:cs="Arial" w:eastAsia="Arial" w:hAnsi="Arial"/>
                <w:sz w:val="10"/>
                <w:szCs w:val="10"/>
                <w:color w:val="auto"/>
              </w:rPr>
              <w:t>Revenues</w:t>
            </w:r>
          </w:p>
        </w:tc>
        <w:tc>
          <w:tcPr>
            <w:tcW w:w="1400" w:type="dxa"/>
            <w:vAlign w:val="bottom"/>
            <w:gridSpan w:val="3"/>
          </w:tcPr>
          <w:p>
            <w:pPr>
              <w:ind w:left="20"/>
              <w:spacing w:after="0"/>
              <w:rPr>
                <w:sz w:val="20"/>
                <w:szCs w:val="20"/>
                <w:color w:val="auto"/>
              </w:rPr>
            </w:pPr>
            <w:r>
              <w:rPr>
                <w:rFonts w:ascii="Arial" w:cs="Arial" w:eastAsia="Arial" w:hAnsi="Arial"/>
                <w:sz w:val="10"/>
                <w:szCs w:val="10"/>
                <w:b w:val="1"/>
                <w:bCs w:val="1"/>
                <w:color w:val="auto"/>
              </w:rPr>
              <w:t>Gathering and Processing</w:t>
            </w:r>
          </w:p>
        </w:tc>
        <w:tc>
          <w:tcPr>
            <w:tcW w:w="40" w:type="dxa"/>
            <w:vAlign w:val="bottom"/>
          </w:tcPr>
          <w:p>
            <w:pPr>
              <w:spacing w:after="0"/>
              <w:rPr>
                <w:sz w:val="10"/>
                <w:szCs w:val="10"/>
                <w:color w:val="auto"/>
              </w:rPr>
            </w:pPr>
          </w:p>
        </w:tc>
        <w:tc>
          <w:tcPr>
            <w:tcW w:w="1120" w:type="dxa"/>
            <w:vAlign w:val="bottom"/>
          </w:tcPr>
          <w:p>
            <w:pPr>
              <w:jc w:val="right"/>
              <w:ind w:right="10"/>
              <w:spacing w:after="0"/>
              <w:rPr>
                <w:sz w:val="20"/>
                <w:szCs w:val="20"/>
                <w:color w:val="auto"/>
              </w:rPr>
            </w:pPr>
            <w:r>
              <w:rPr>
                <w:rFonts w:ascii="Arial" w:cs="Arial" w:eastAsia="Arial" w:hAnsi="Arial"/>
                <w:sz w:val="10"/>
                <w:szCs w:val="10"/>
                <w:b w:val="1"/>
                <w:bCs w:val="1"/>
                <w:color w:val="auto"/>
                <w:w w:val="90"/>
              </w:rPr>
              <w:t>Logistics and Marketing</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0"/>
              </w:rPr>
              <w:t>Eliminations</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gridSpan w:val="2"/>
          </w:tcPr>
          <w:p>
            <w:pPr>
              <w:ind w:left="3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2"/>
        </w:trPr>
        <w:tc>
          <w:tcPr>
            <w:tcW w:w="4260" w:type="dxa"/>
            <w:vAlign w:val="bottom"/>
            <w:vMerge w:val="continue"/>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260" w:type="dxa"/>
            <w:vAlign w:val="bottom"/>
            <w:shd w:val="clear" w:color="auto" w:fill="CFF0FC"/>
          </w:tcPr>
          <w:p>
            <w:pPr>
              <w:ind w:left="340"/>
              <w:spacing w:after="0" w:line="113" w:lineRule="exact"/>
              <w:rPr>
                <w:sz w:val="20"/>
                <w:szCs w:val="20"/>
                <w:color w:val="auto"/>
              </w:rPr>
            </w:pPr>
            <w:r>
              <w:rPr>
                <w:rFonts w:ascii="Arial" w:cs="Arial" w:eastAsia="Arial" w:hAnsi="Arial"/>
                <w:sz w:val="10"/>
                <w:szCs w:val="10"/>
                <w:color w:val="auto"/>
              </w:rPr>
              <w:t>Sales of commodities</w:t>
            </w:r>
          </w:p>
        </w:tc>
        <w:tc>
          <w:tcPr>
            <w:tcW w:w="420" w:type="dxa"/>
            <w:vAlign w:val="bottom"/>
            <w:shd w:val="clear" w:color="auto" w:fill="CFF0FC"/>
          </w:tcPr>
          <w:p>
            <w:pPr>
              <w:jc w:val="right"/>
              <w:ind w:right="351"/>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265.2</w:t>
            </w:r>
          </w:p>
        </w:tc>
        <w:tc>
          <w:tcPr>
            <w:tcW w:w="240" w:type="dxa"/>
            <w:vAlign w:val="bottom"/>
            <w:shd w:val="clear" w:color="auto" w:fill="CFF0FC"/>
          </w:tcPr>
          <w:p>
            <w:pPr>
              <w:spacing w:after="0"/>
              <w:rPr>
                <w:sz w:val="9"/>
                <w:szCs w:val="9"/>
                <w:color w:val="auto"/>
              </w:rPr>
            </w:pP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1,926.3</w:t>
            </w:r>
          </w:p>
        </w:tc>
        <w:tc>
          <w:tcPr>
            <w:tcW w:w="480" w:type="dxa"/>
            <w:vAlign w:val="bottom"/>
            <w:gridSpan w:val="2"/>
            <w:shd w:val="clear" w:color="auto" w:fill="CFF0FC"/>
          </w:tcPr>
          <w:p>
            <w:pPr>
              <w:jc w:val="right"/>
              <w:ind w:right="130"/>
              <w:spacing w:after="0" w:line="113" w:lineRule="exact"/>
              <w:rPr>
                <w:sz w:val="20"/>
                <w:szCs w:val="20"/>
                <w:color w:val="auto"/>
              </w:rPr>
            </w:pPr>
            <w:r>
              <w:rPr>
                <w:rFonts w:ascii="Arial" w:cs="Arial" w:eastAsia="Arial" w:hAnsi="Arial"/>
                <w:sz w:val="10"/>
                <w:szCs w:val="10"/>
                <w:color w:val="auto"/>
              </w:rPr>
              <w:t>$</w:t>
            </w:r>
          </w:p>
        </w:tc>
        <w:tc>
          <w:tcPr>
            <w:tcW w:w="106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(17.8)</w:t>
            </w:r>
          </w:p>
        </w:tc>
        <w:tc>
          <w:tcPr>
            <w:tcW w:w="320" w:type="dxa"/>
            <w:vAlign w:val="bottom"/>
            <w:gridSpan w:val="2"/>
            <w:shd w:val="clear" w:color="auto" w:fill="CFF0FC"/>
          </w:tcPr>
          <w:p>
            <w:pPr>
              <w:jc w:val="right"/>
              <w:ind w:right="110"/>
              <w:spacing w:after="0" w:line="113" w:lineRule="exact"/>
              <w:rPr>
                <w:sz w:val="20"/>
                <w:szCs w:val="20"/>
                <w:color w:val="auto"/>
              </w:rPr>
            </w:pPr>
            <w:r>
              <w:rPr>
                <w:rFonts w:ascii="Arial" w:cs="Arial" w:eastAsia="Arial" w:hAnsi="Arial"/>
                <w:sz w:val="10"/>
                <w:szCs w:val="10"/>
                <w:color w:val="auto"/>
              </w:rPr>
              <w:t>$</w:t>
            </w:r>
          </w:p>
        </w:tc>
        <w:tc>
          <w:tcPr>
            <w:tcW w:w="108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FF0FC"/>
          </w:tcPr>
          <w:p>
            <w:pPr>
              <w:jc w:val="right"/>
              <w:ind w:right="230"/>
              <w:spacing w:after="0" w:line="113" w:lineRule="exact"/>
              <w:rPr>
                <w:sz w:val="20"/>
                <w:szCs w:val="20"/>
                <w:color w:val="auto"/>
              </w:rPr>
            </w:pPr>
            <w:r>
              <w:rPr>
                <w:rFonts w:ascii="Arial" w:cs="Arial" w:eastAsia="Arial" w:hAnsi="Arial"/>
                <w:sz w:val="10"/>
                <w:szCs w:val="10"/>
                <w:color w:val="auto"/>
              </w:rPr>
              <w:t>$</w:t>
            </w:r>
          </w:p>
        </w:tc>
        <w:tc>
          <w:tcPr>
            <w:tcW w:w="11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2,173.7</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60" w:type="dxa"/>
            <w:vAlign w:val="bottom"/>
            <w:tcBorders>
              <w:bottom w:val="single" w:sz="8" w:color="CFF0FC"/>
            </w:tcBorders>
          </w:tcPr>
          <w:p>
            <w:pPr>
              <w:ind w:left="340"/>
              <w:spacing w:after="0" w:line="113" w:lineRule="exact"/>
              <w:rPr>
                <w:sz w:val="20"/>
                <w:szCs w:val="20"/>
                <w:color w:val="auto"/>
              </w:rPr>
            </w:pPr>
            <w:r>
              <w:rPr>
                <w:rFonts w:ascii="Arial" w:cs="Arial" w:eastAsia="Arial" w:hAnsi="Arial"/>
                <w:sz w:val="10"/>
                <w:szCs w:val="10"/>
                <w:color w:val="auto"/>
              </w:rPr>
              <w:t>Fees from midstream services</w:t>
            </w:r>
          </w:p>
        </w:tc>
        <w:tc>
          <w:tcPr>
            <w:tcW w:w="4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161.3</w:t>
            </w:r>
          </w:p>
        </w:tc>
        <w:tc>
          <w:tcPr>
            <w:tcW w:w="240" w:type="dxa"/>
            <w:vAlign w:val="bottom"/>
            <w:tcBorders>
              <w:bottom w:val="single" w:sz="8" w:color="CFF0FC"/>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120.6</w:t>
            </w:r>
          </w:p>
        </w:tc>
        <w:tc>
          <w:tcPr>
            <w:tcW w:w="24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281.9</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74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426.5</w:t>
            </w:r>
          </w:p>
        </w:tc>
        <w:tc>
          <w:tcPr>
            <w:tcW w:w="2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2,046.9</w:t>
            </w:r>
          </w:p>
        </w:tc>
        <w:tc>
          <w:tcPr>
            <w:tcW w:w="2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60" w:type="dxa"/>
            <w:vAlign w:val="bottom"/>
            <w:gridSpan w:val="2"/>
            <w:shd w:val="clear" w:color="auto" w:fill="CFF0FC"/>
          </w:tcPr>
          <w:p>
            <w:pPr>
              <w:jc w:val="right"/>
              <w:ind w:right="100"/>
              <w:spacing w:after="0" w:line="103" w:lineRule="exact"/>
              <w:rPr>
                <w:sz w:val="20"/>
                <w:szCs w:val="20"/>
                <w:color w:val="auto"/>
              </w:rPr>
            </w:pPr>
            <w:r>
              <w:rPr>
                <w:rFonts w:ascii="Arial" w:cs="Arial" w:eastAsia="Arial" w:hAnsi="Arial"/>
                <w:sz w:val="10"/>
                <w:szCs w:val="10"/>
                <w:color w:val="auto"/>
              </w:rPr>
              <w:t>(17.8)</w:t>
            </w: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4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1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2,455.6</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260" w:type="dxa"/>
            <w:vAlign w:val="bottom"/>
          </w:tcPr>
          <w:p>
            <w:pPr>
              <w:spacing w:after="0" w:line="113" w:lineRule="exact"/>
              <w:rPr>
                <w:sz w:val="20"/>
                <w:szCs w:val="20"/>
                <w:color w:val="auto"/>
              </w:rPr>
            </w:pPr>
            <w:r>
              <w:rPr>
                <w:rFonts w:ascii="Arial" w:cs="Arial" w:eastAsia="Arial" w:hAnsi="Arial"/>
                <w:sz w:val="10"/>
                <w:szCs w:val="10"/>
                <w:color w:val="auto"/>
              </w:rPr>
              <w:t>Intersegment revenues</w:t>
            </w: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60" w:type="dxa"/>
            <w:vAlign w:val="bottom"/>
            <w:shd w:val="clear" w:color="auto" w:fill="CFF0FC"/>
          </w:tcPr>
          <w:p>
            <w:pPr>
              <w:ind w:left="340"/>
              <w:spacing w:after="0" w:line="113" w:lineRule="exact"/>
              <w:rPr>
                <w:sz w:val="20"/>
                <w:szCs w:val="20"/>
                <w:color w:val="auto"/>
              </w:rPr>
            </w:pPr>
            <w:r>
              <w:rPr>
                <w:rFonts w:ascii="Arial" w:cs="Arial" w:eastAsia="Arial" w:hAnsi="Arial"/>
                <w:sz w:val="10"/>
                <w:szCs w:val="10"/>
                <w:color w:val="auto"/>
              </w:rPr>
              <w:t>Sales of commodities</w:t>
            </w:r>
          </w:p>
        </w:tc>
        <w:tc>
          <w:tcPr>
            <w:tcW w:w="42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866.5</w:t>
            </w:r>
          </w:p>
        </w:tc>
        <w:tc>
          <w:tcPr>
            <w:tcW w:w="2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1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55.7</w:t>
            </w: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6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(922.2)</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8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4260" w:type="dxa"/>
            <w:vAlign w:val="bottom"/>
          </w:tcPr>
          <w:p>
            <w:pPr>
              <w:ind w:left="340"/>
              <w:spacing w:after="0" w:line="113" w:lineRule="exact"/>
              <w:rPr>
                <w:sz w:val="20"/>
                <w:szCs w:val="20"/>
                <w:color w:val="auto"/>
              </w:rPr>
            </w:pPr>
            <w:r>
              <w:rPr>
                <w:rFonts w:ascii="Arial" w:cs="Arial" w:eastAsia="Arial" w:hAnsi="Arial"/>
                <w:sz w:val="10"/>
                <w:szCs w:val="10"/>
                <w:color w:val="auto"/>
              </w:rPr>
              <w:t>Fees from midstream services</w:t>
            </w:r>
          </w:p>
        </w:tc>
        <w:tc>
          <w:tcPr>
            <w:tcW w:w="42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Arial" w:cs="Arial" w:eastAsia="Arial" w:hAnsi="Arial"/>
                <w:sz w:val="10"/>
                <w:szCs w:val="10"/>
                <w:color w:val="auto"/>
              </w:rPr>
              <w:t>1.9</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jc w:val="right"/>
              <w:spacing w:after="0" w:line="113" w:lineRule="exact"/>
              <w:rPr>
                <w:sz w:val="20"/>
                <w:szCs w:val="20"/>
                <w:color w:val="auto"/>
              </w:rPr>
            </w:pPr>
            <w:r>
              <w:rPr>
                <w:rFonts w:ascii="Arial" w:cs="Arial" w:eastAsia="Arial" w:hAnsi="Arial"/>
                <w:sz w:val="10"/>
                <w:szCs w:val="10"/>
                <w:color w:val="auto"/>
              </w:rPr>
              <w:t>6.9</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(8.8)</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2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74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868.4</w:t>
            </w:r>
          </w:p>
        </w:tc>
        <w:tc>
          <w:tcPr>
            <w:tcW w:w="2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62.6</w:t>
            </w:r>
          </w:p>
        </w:tc>
        <w:tc>
          <w:tcPr>
            <w:tcW w:w="2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w:t>
            </w:r>
          </w:p>
        </w:tc>
        <w:tc>
          <w:tcPr>
            <w:tcW w:w="14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80" w:type="dxa"/>
            <w:vAlign w:val="bottom"/>
            <w:gridSpan w:val="2"/>
            <w:shd w:val="clear" w:color="auto" w:fill="CFF0FC"/>
          </w:tcPr>
          <w:p>
            <w:pPr>
              <w:jc w:val="right"/>
              <w:ind w:right="100"/>
              <w:spacing w:after="0" w:line="103" w:lineRule="exact"/>
              <w:rPr>
                <w:sz w:val="20"/>
                <w:szCs w:val="20"/>
                <w:color w:val="auto"/>
              </w:rPr>
            </w:pPr>
            <w:r>
              <w:rPr>
                <w:rFonts w:ascii="Arial" w:cs="Arial" w:eastAsia="Arial" w:hAnsi="Arial"/>
                <w:sz w:val="10"/>
                <w:szCs w:val="10"/>
                <w:color w:val="auto"/>
              </w:rPr>
              <w:t>(931.0)</w:t>
            </w: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1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w:t>
            </w:r>
          </w:p>
        </w:tc>
        <w:tc>
          <w:tcPr>
            <w:tcW w:w="1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160"/>
              <w:spacing w:after="0"/>
              <w:rPr>
                <w:sz w:val="20"/>
                <w:szCs w:val="20"/>
                <w:color w:val="auto"/>
              </w:rPr>
            </w:pPr>
            <w:r>
              <w:rPr>
                <w:rFonts w:ascii="Arial" w:cs="Arial" w:eastAsia="Arial" w:hAnsi="Arial"/>
                <w:sz w:val="10"/>
                <w:szCs w:val="10"/>
                <w:color w:val="auto"/>
              </w:rPr>
              <w:t>Revenues</w:t>
            </w: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260" w:type="dxa"/>
            <w:vAlign w:val="bottom"/>
            <w:vMerge w:val="continue"/>
          </w:tcPr>
          <w:p>
            <w:pPr>
              <w:spacing w:after="0"/>
              <w:rPr>
                <w:sz w:val="8"/>
                <w:szCs w:val="8"/>
                <w:color w:val="auto"/>
              </w:rPr>
            </w:pPr>
          </w:p>
        </w:tc>
        <w:tc>
          <w:tcPr>
            <w:tcW w:w="420" w:type="dxa"/>
            <w:vAlign w:val="bottom"/>
          </w:tcPr>
          <w:p>
            <w:pPr>
              <w:jc w:val="right"/>
              <w:ind w:right="351"/>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line="103" w:lineRule="exact"/>
              <w:rPr>
                <w:sz w:val="20"/>
                <w:szCs w:val="20"/>
                <w:color w:val="auto"/>
              </w:rPr>
            </w:pPr>
            <w:r>
              <w:rPr>
                <w:rFonts w:ascii="Arial" w:cs="Arial" w:eastAsia="Arial" w:hAnsi="Arial"/>
                <w:sz w:val="10"/>
                <w:szCs w:val="10"/>
                <w:color w:val="auto"/>
              </w:rPr>
              <w:t>1,294.9</w:t>
            </w:r>
          </w:p>
        </w:tc>
        <w:tc>
          <w:tcPr>
            <w:tcW w:w="240" w:type="dxa"/>
            <w:vAlign w:val="bottom"/>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spacing w:after="0" w:line="103" w:lineRule="exact"/>
              <w:rPr>
                <w:sz w:val="20"/>
                <w:szCs w:val="20"/>
                <w:color w:val="auto"/>
              </w:rPr>
            </w:pPr>
            <w:r>
              <w:rPr>
                <w:rFonts w:ascii="Arial" w:cs="Arial" w:eastAsia="Arial" w:hAnsi="Arial"/>
                <w:sz w:val="10"/>
                <w:szCs w:val="10"/>
                <w:color w:val="auto"/>
              </w:rPr>
              <w:t>2,109.5</w:t>
            </w:r>
          </w:p>
        </w:tc>
        <w:tc>
          <w:tcPr>
            <w:tcW w:w="240" w:type="dxa"/>
            <w:vAlign w:val="bottom"/>
            <w:vMerge w:val="continue"/>
          </w:tcPr>
          <w:p>
            <w:pPr>
              <w:spacing w:after="0"/>
              <w:rPr>
                <w:sz w:val="8"/>
                <w:szCs w:val="8"/>
                <w:color w:val="auto"/>
              </w:rPr>
            </w:pPr>
          </w:p>
        </w:tc>
        <w:tc>
          <w:tcPr>
            <w:tcW w:w="240" w:type="dxa"/>
            <w:vAlign w:val="bottom"/>
          </w:tcPr>
          <w:p>
            <w:pPr>
              <w:jc w:val="right"/>
              <w:ind w:right="130"/>
              <w:spacing w:after="0" w:line="103" w:lineRule="exact"/>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line="103" w:lineRule="exact"/>
              <w:rPr>
                <w:sz w:val="20"/>
                <w:szCs w:val="20"/>
                <w:color w:val="auto"/>
              </w:rPr>
            </w:pPr>
            <w:r>
              <w:rPr>
                <w:rFonts w:ascii="Arial" w:cs="Arial" w:eastAsia="Arial" w:hAnsi="Arial"/>
                <w:sz w:val="10"/>
                <w:szCs w:val="10"/>
                <w:color w:val="auto"/>
              </w:rPr>
              <w:t>(17.8)</w:t>
            </w:r>
          </w:p>
        </w:tc>
        <w:tc>
          <w:tcPr>
            <w:tcW w:w="100" w:type="dxa"/>
            <w:vAlign w:val="bottom"/>
            <w:vMerge w:val="continue"/>
          </w:tcPr>
          <w:p>
            <w:pPr>
              <w:spacing w:after="0"/>
              <w:rPr>
                <w:sz w:val="8"/>
                <w:szCs w:val="8"/>
                <w:color w:val="auto"/>
              </w:rPr>
            </w:pPr>
          </w:p>
        </w:tc>
        <w:tc>
          <w:tcPr>
            <w:tcW w:w="220" w:type="dxa"/>
            <w:vAlign w:val="bottom"/>
          </w:tcPr>
          <w:p>
            <w:pPr>
              <w:jc w:val="right"/>
              <w:ind w:right="110"/>
              <w:spacing w:after="0" w:line="103" w:lineRule="exact"/>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line="103" w:lineRule="exact"/>
              <w:rPr>
                <w:sz w:val="20"/>
                <w:szCs w:val="20"/>
                <w:color w:val="auto"/>
              </w:rPr>
            </w:pPr>
            <w:r>
              <w:rPr>
                <w:rFonts w:ascii="Arial" w:cs="Arial" w:eastAsia="Arial" w:hAnsi="Arial"/>
                <w:sz w:val="10"/>
                <w:szCs w:val="10"/>
                <w:color w:val="auto"/>
              </w:rPr>
              <w:t>(931.0)</w:t>
            </w:r>
          </w:p>
        </w:tc>
        <w:tc>
          <w:tcPr>
            <w:tcW w:w="100" w:type="dxa"/>
            <w:vAlign w:val="bottom"/>
            <w:vMerge w:val="continue"/>
          </w:tcPr>
          <w:p>
            <w:pPr>
              <w:spacing w:after="0"/>
              <w:rPr>
                <w:sz w:val="8"/>
                <w:szCs w:val="8"/>
                <w:color w:val="auto"/>
              </w:rPr>
            </w:pPr>
          </w:p>
        </w:tc>
        <w:tc>
          <w:tcPr>
            <w:tcW w:w="340" w:type="dxa"/>
            <w:vAlign w:val="bottom"/>
          </w:tcPr>
          <w:p>
            <w:pPr>
              <w:jc w:val="right"/>
              <w:ind w:right="230"/>
              <w:spacing w:after="0" w:line="103" w:lineRule="exact"/>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03" w:lineRule="exact"/>
              <w:rPr>
                <w:sz w:val="20"/>
                <w:szCs w:val="20"/>
                <w:color w:val="auto"/>
              </w:rPr>
            </w:pPr>
            <w:r>
              <w:rPr>
                <w:rFonts w:ascii="Arial" w:cs="Arial" w:eastAsia="Arial" w:hAnsi="Arial"/>
                <w:sz w:val="10"/>
                <w:szCs w:val="10"/>
                <w:color w:val="auto"/>
              </w:rPr>
              <w:t>2,455.6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4260" w:type="dxa"/>
            <w:vAlign w:val="bottom"/>
            <w:vMerge w:val="restart"/>
            <w:shd w:val="clear" w:color="auto" w:fill="CFF0FC"/>
          </w:tcPr>
          <w:p>
            <w:pPr>
              <w:ind w:left="160"/>
              <w:spacing w:after="0"/>
              <w:rPr>
                <w:sz w:val="20"/>
                <w:szCs w:val="20"/>
                <w:color w:val="auto"/>
              </w:rPr>
            </w:pPr>
            <w:r>
              <w:rPr>
                <w:rFonts w:ascii="Arial" w:cs="Arial" w:eastAsia="Arial" w:hAnsi="Arial"/>
                <w:sz w:val="10"/>
                <w:szCs w:val="10"/>
                <w:color w:val="auto"/>
              </w:rPr>
              <w:t>Operating margin</w:t>
            </w: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vMerge w:val="restart"/>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vMerge w:val="restart"/>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vMerge w:val="restart"/>
            <w:shd w:val="clear" w:color="auto" w:fill="CFF0FC"/>
          </w:tcPr>
          <w:p>
            <w:pPr>
              <w:spacing w:after="0"/>
              <w:rPr>
                <w:sz w:val="2"/>
                <w:szCs w:val="2"/>
                <w:color w:val="auto"/>
              </w:rPr>
            </w:pPr>
          </w:p>
        </w:tc>
        <w:tc>
          <w:tcPr>
            <w:tcW w:w="100" w:type="dxa"/>
            <w:vAlign w:val="bottom"/>
            <w:vMerge w:val="restart"/>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260" w:type="dxa"/>
            <w:vAlign w:val="bottom"/>
            <w:vMerge w:val="continue"/>
            <w:shd w:val="clear" w:color="auto" w:fill="CFF0FC"/>
          </w:tcPr>
          <w:p>
            <w:pPr>
              <w:spacing w:after="0"/>
              <w:rPr>
                <w:sz w:val="11"/>
                <w:szCs w:val="11"/>
                <w:color w:val="auto"/>
              </w:rPr>
            </w:pPr>
          </w:p>
        </w:tc>
        <w:tc>
          <w:tcPr>
            <w:tcW w:w="420" w:type="dxa"/>
            <w:vAlign w:val="bottom"/>
            <w:shd w:val="clear" w:color="auto" w:fill="CFF0FC"/>
          </w:tcPr>
          <w:p>
            <w:pPr>
              <w:jc w:val="right"/>
              <w:ind w:right="351"/>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220.8</w:t>
            </w: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138.4</w:t>
            </w:r>
          </w:p>
        </w:tc>
        <w:tc>
          <w:tcPr>
            <w:tcW w:w="24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jc w:val="right"/>
              <w:ind w:right="130"/>
              <w:spacing w:after="0" w:line="113" w:lineRule="exact"/>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(17.8)</w:t>
            </w:r>
          </w:p>
        </w:tc>
        <w:tc>
          <w:tcPr>
            <w:tcW w:w="1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jc w:val="right"/>
              <w:ind w:right="110"/>
              <w:spacing w:after="0" w:line="113" w:lineRule="exact"/>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40" w:type="dxa"/>
            <w:vAlign w:val="bottom"/>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340" w:type="dxa"/>
            <w:vAlign w:val="bottom"/>
            <w:shd w:val="clear" w:color="auto" w:fill="CFF0FC"/>
          </w:tcPr>
          <w:p>
            <w:pPr>
              <w:jc w:val="right"/>
              <w:ind w:right="230"/>
              <w:spacing w:after="0" w:line="113" w:lineRule="exact"/>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341.4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260" w:type="dxa"/>
            <w:vAlign w:val="bottom"/>
            <w:tcBorders>
              <w:top w:val="single" w:sz="8" w:color="CFF0FC"/>
            </w:tcBorders>
          </w:tcPr>
          <w:p>
            <w:pPr>
              <w:spacing w:after="0" w:line="102" w:lineRule="exact"/>
              <w:rPr>
                <w:sz w:val="20"/>
                <w:szCs w:val="20"/>
                <w:color w:val="auto"/>
              </w:rPr>
            </w:pPr>
            <w:r>
              <w:rPr>
                <w:rFonts w:ascii="Arial" w:cs="Arial" w:eastAsia="Arial" w:hAnsi="Arial"/>
                <w:sz w:val="10"/>
                <w:szCs w:val="10"/>
                <w:color w:val="auto"/>
              </w:rPr>
              <w:t>Other financial information:</w:t>
            </w:r>
          </w:p>
        </w:tc>
        <w:tc>
          <w:tcPr>
            <w:tcW w:w="4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26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Total assets (1)</w:t>
            </w:r>
          </w:p>
        </w:tc>
        <w:tc>
          <w:tcPr>
            <w:tcW w:w="420" w:type="dxa"/>
            <w:vAlign w:val="bottom"/>
            <w:shd w:val="clear" w:color="auto" w:fill="CFF0FC"/>
          </w:tcPr>
          <w:p>
            <w:pPr>
              <w:jc w:val="right"/>
              <w:ind w:right="351"/>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10,908.5</w:t>
            </w: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3,595.1</w:t>
            </w:r>
          </w:p>
        </w:tc>
        <w:tc>
          <w:tcPr>
            <w:tcW w:w="480" w:type="dxa"/>
            <w:vAlign w:val="bottom"/>
            <w:gridSpan w:val="2"/>
            <w:shd w:val="clear" w:color="auto" w:fill="CFF0FC"/>
          </w:tcPr>
          <w:p>
            <w:pPr>
              <w:jc w:val="right"/>
              <w:ind w:right="130"/>
              <w:spacing w:after="0" w:line="113" w:lineRule="exact"/>
              <w:rPr>
                <w:sz w:val="20"/>
                <w:szCs w:val="20"/>
                <w:color w:val="auto"/>
              </w:rPr>
            </w:pPr>
            <w:r>
              <w:rPr>
                <w:rFonts w:ascii="Arial" w:cs="Arial" w:eastAsia="Arial" w:hAnsi="Arial"/>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103.0</w:t>
            </w:r>
          </w:p>
        </w:tc>
        <w:tc>
          <w:tcPr>
            <w:tcW w:w="14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10"/>
              <w:spacing w:after="0" w:line="113" w:lineRule="exact"/>
              <w:rPr>
                <w:sz w:val="20"/>
                <w:szCs w:val="20"/>
                <w:color w:val="auto"/>
              </w:rPr>
            </w:pPr>
            <w:r>
              <w:rPr>
                <w:rFonts w:ascii="Arial" w:cs="Arial" w:eastAsia="Arial" w:hAnsi="Arial"/>
                <w:sz w:val="10"/>
                <w:szCs w:val="10"/>
                <w:color w:val="auto"/>
              </w:rPr>
              <w:t>$</w:t>
            </w:r>
          </w:p>
        </w:tc>
        <w:tc>
          <w:tcPr>
            <w:tcW w:w="9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121.1</w:t>
            </w:r>
          </w:p>
        </w:tc>
        <w:tc>
          <w:tcPr>
            <w:tcW w:w="14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230"/>
              <w:spacing w:after="0" w:line="113" w:lineRule="exact"/>
              <w:rPr>
                <w:sz w:val="20"/>
                <w:szCs w:val="20"/>
                <w:color w:val="auto"/>
              </w:rPr>
            </w:pPr>
            <w:r>
              <w:rPr>
                <w:rFonts w:ascii="Arial" w:cs="Arial" w:eastAsia="Arial" w:hAnsi="Arial"/>
                <w:sz w:val="10"/>
                <w:szCs w:val="10"/>
                <w:color w:val="auto"/>
              </w:rPr>
              <w:t>$</w:t>
            </w:r>
          </w:p>
        </w:tc>
        <w:tc>
          <w:tcPr>
            <w:tcW w:w="11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14,727.7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260" w:type="dxa"/>
            <w:vAlign w:val="bottom"/>
            <w:tcBorders>
              <w:top w:val="single" w:sz="8" w:color="CFF0FC"/>
              <w:bottom w:val="single" w:sz="8" w:color="CFF0FC"/>
            </w:tcBorders>
          </w:tcPr>
          <w:p>
            <w:pPr>
              <w:ind w:left="160"/>
              <w:spacing w:after="0" w:line="102" w:lineRule="exact"/>
              <w:rPr>
                <w:sz w:val="20"/>
                <w:szCs w:val="20"/>
                <w:color w:val="auto"/>
              </w:rPr>
            </w:pPr>
            <w:r>
              <w:rPr>
                <w:rFonts w:ascii="Arial" w:cs="Arial" w:eastAsia="Arial" w:hAnsi="Arial"/>
                <w:sz w:val="10"/>
                <w:szCs w:val="10"/>
                <w:color w:val="auto"/>
              </w:rPr>
              <w:t>Goodwill</w:t>
            </w:r>
          </w:p>
        </w:tc>
        <w:tc>
          <w:tcPr>
            <w:tcW w:w="4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256.6</w:t>
            </w:r>
          </w:p>
        </w:tc>
        <w:tc>
          <w:tcPr>
            <w:tcW w:w="240" w:type="dxa"/>
            <w:vAlign w:val="bottom"/>
            <w:tcBorders>
              <w:top w:val="single" w:sz="8" w:color="CFF0FC"/>
              <w:bottom w:val="single" w:sz="8" w:color="CFF0FC"/>
            </w:tcBorders>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w:t>
            </w:r>
          </w:p>
        </w:tc>
        <w:tc>
          <w:tcPr>
            <w:tcW w:w="240" w:type="dxa"/>
            <w:vAlign w:val="bottom"/>
            <w:tcBorders>
              <w:top w:val="single" w:sz="8" w:color="CFF0FC"/>
              <w:bottom w:val="single" w:sz="8" w:color="CFF0FC"/>
            </w:tcBorders>
          </w:tcPr>
          <w:p>
            <w:pPr>
              <w:spacing w:after="0"/>
              <w:rPr>
                <w:sz w:val="9"/>
                <w:szCs w:val="9"/>
                <w:color w:val="auto"/>
              </w:rPr>
            </w:pPr>
          </w:p>
        </w:tc>
        <w:tc>
          <w:tcPr>
            <w:tcW w:w="240" w:type="dxa"/>
            <w:vAlign w:val="bottom"/>
            <w:tcBorders>
              <w:top w:val="single" w:sz="8" w:color="auto"/>
              <w:bottom w:val="single" w:sz="8" w:color="auto"/>
            </w:tcBorders>
          </w:tcPr>
          <w:p>
            <w:pPr>
              <w:jc w:val="right"/>
              <w:ind w:right="130"/>
              <w:spacing w:after="0" w:line="102" w:lineRule="exact"/>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FF0FC"/>
              <w:bottom w:val="single" w:sz="8" w:color="CFF0FC"/>
            </w:tcBorders>
          </w:tcPr>
          <w:p>
            <w:pPr>
              <w:spacing w:after="0"/>
              <w:rPr>
                <w:sz w:val="9"/>
                <w:szCs w:val="9"/>
                <w:color w:val="auto"/>
              </w:rPr>
            </w:pPr>
          </w:p>
        </w:tc>
        <w:tc>
          <w:tcPr>
            <w:tcW w:w="100" w:type="dxa"/>
            <w:vAlign w:val="bottom"/>
            <w:tcBorders>
              <w:top w:val="single" w:sz="8" w:color="CFF0FC"/>
              <w:bottom w:val="single" w:sz="8" w:color="CFF0FC"/>
            </w:tcBorders>
          </w:tcPr>
          <w:p>
            <w:pPr>
              <w:spacing w:after="0"/>
              <w:rPr>
                <w:sz w:val="9"/>
                <w:szCs w:val="9"/>
                <w:color w:val="auto"/>
              </w:rPr>
            </w:pPr>
          </w:p>
        </w:tc>
        <w:tc>
          <w:tcPr>
            <w:tcW w:w="220" w:type="dxa"/>
            <w:vAlign w:val="bottom"/>
            <w:tcBorders>
              <w:top w:val="single" w:sz="8" w:color="auto"/>
              <w:bottom w:val="single" w:sz="8" w:color="auto"/>
            </w:tcBorders>
          </w:tcPr>
          <w:p>
            <w:pPr>
              <w:jc w:val="right"/>
              <w:ind w:right="110"/>
              <w:spacing w:after="0" w:line="102"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FF0FC"/>
              <w:bottom w:val="single" w:sz="8" w:color="CFF0FC"/>
            </w:tcBorders>
          </w:tcPr>
          <w:p>
            <w:pPr>
              <w:spacing w:after="0"/>
              <w:rPr>
                <w:sz w:val="9"/>
                <w:szCs w:val="9"/>
                <w:color w:val="auto"/>
              </w:rPr>
            </w:pPr>
          </w:p>
        </w:tc>
        <w:tc>
          <w:tcPr>
            <w:tcW w:w="100" w:type="dxa"/>
            <w:vAlign w:val="bottom"/>
            <w:tcBorders>
              <w:top w:val="single" w:sz="8" w:color="CFF0FC"/>
              <w:bottom w:val="single" w:sz="8" w:color="CFF0FC"/>
            </w:tcBorders>
          </w:tcPr>
          <w:p>
            <w:pPr>
              <w:spacing w:after="0"/>
              <w:rPr>
                <w:sz w:val="9"/>
                <w:szCs w:val="9"/>
                <w:color w:val="auto"/>
              </w:rPr>
            </w:pPr>
          </w:p>
        </w:tc>
        <w:tc>
          <w:tcPr>
            <w:tcW w:w="340" w:type="dxa"/>
            <w:vAlign w:val="bottom"/>
            <w:tcBorders>
              <w:top w:val="single" w:sz="8" w:color="auto"/>
              <w:bottom w:val="single" w:sz="8" w:color="auto"/>
            </w:tcBorders>
          </w:tcPr>
          <w:p>
            <w:pPr>
              <w:jc w:val="right"/>
              <w:ind w:right="230"/>
              <w:spacing w:after="0" w:line="102" w:lineRule="exact"/>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256.6</w:t>
            </w:r>
          </w:p>
        </w:tc>
        <w:tc>
          <w:tcPr>
            <w:tcW w:w="120" w:type="dxa"/>
            <w:vAlign w:val="bottom"/>
            <w:tcBorders>
              <w:top w:val="single" w:sz="8" w:color="CFF0FC"/>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260" w:type="dxa"/>
            <w:vAlign w:val="bottom"/>
            <w:tcBorders>
              <w:bottom w:val="single" w:sz="8" w:color="CFF0FC"/>
            </w:tcBorders>
            <w:shd w:val="clear" w:color="auto" w:fill="CFF0FC"/>
          </w:tcPr>
          <w:p>
            <w:pPr>
              <w:ind w:left="160"/>
              <w:spacing w:after="0" w:line="113" w:lineRule="exact"/>
              <w:rPr>
                <w:sz w:val="20"/>
                <w:szCs w:val="20"/>
                <w:color w:val="auto"/>
              </w:rPr>
            </w:pPr>
            <w:r>
              <w:rPr>
                <w:rFonts w:ascii="Arial" w:cs="Arial" w:eastAsia="Arial" w:hAnsi="Arial"/>
                <w:sz w:val="10"/>
                <w:szCs w:val="10"/>
                <w:color w:val="auto"/>
              </w:rPr>
              <w:t>Capital expenditures</w:t>
            </w:r>
          </w:p>
        </w:tc>
        <w:tc>
          <w:tcPr>
            <w:tcW w:w="420" w:type="dxa"/>
            <w:vAlign w:val="bottom"/>
            <w:tcBorders>
              <w:bottom w:val="single" w:sz="8" w:color="auto"/>
            </w:tcBorders>
            <w:shd w:val="clear" w:color="auto" w:fill="CFF0FC"/>
          </w:tcPr>
          <w:p>
            <w:pPr>
              <w:jc w:val="right"/>
              <w:ind w:right="351"/>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273.2</w:t>
            </w:r>
          </w:p>
        </w:tc>
        <w:tc>
          <w:tcPr>
            <w:tcW w:w="24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251.0</w:t>
            </w:r>
          </w:p>
        </w:tc>
        <w:tc>
          <w:tcPr>
            <w:tcW w:w="24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jc w:val="right"/>
              <w:ind w:right="130"/>
              <w:spacing w:after="0" w:line="113" w:lineRule="exact"/>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jc w:val="right"/>
              <w:ind w:right="110"/>
              <w:spacing w:after="0" w:line="113" w:lineRule="exact"/>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33.8</w:t>
            </w:r>
          </w:p>
        </w:tc>
        <w:tc>
          <w:tcPr>
            <w:tcW w:w="1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auto"/>
            </w:tcBorders>
            <w:shd w:val="clear" w:color="auto" w:fill="CFF0FC"/>
          </w:tcPr>
          <w:p>
            <w:pPr>
              <w:jc w:val="right"/>
              <w:ind w:right="230"/>
              <w:spacing w:after="0" w:line="113" w:lineRule="exact"/>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558.0</w:t>
            </w:r>
          </w:p>
        </w:tc>
        <w:tc>
          <w:tcPr>
            <w:tcW w:w="1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260" w:type="dxa"/>
            <w:vAlign w:val="bottom"/>
          </w:tcPr>
          <w:p>
            <w:pPr>
              <w:ind w:left="20"/>
              <w:spacing w:after="0" w:line="32" w:lineRule="exact"/>
              <w:rPr>
                <w:sz w:val="20"/>
                <w:szCs w:val="20"/>
                <w:color w:val="auto"/>
              </w:rPr>
            </w:pPr>
            <w:r>
              <w:rPr>
                <w:rFonts w:ascii="Arial" w:cs="Arial" w:eastAsia="Arial" w:hAnsi="Arial"/>
                <w:sz w:val="3"/>
                <w:szCs w:val="3"/>
                <w:color w:val="auto"/>
              </w:rPr>
              <w:t>____________________________________________________________________________________________</w:t>
            </w: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85" w:hanging="385"/>
        <w:spacing w:after="0"/>
        <w:tabs>
          <w:tab w:leader="none" w:pos="385" w:val="left"/>
        </w:tabs>
        <w:numPr>
          <w:ilvl w:val="0"/>
          <w:numId w:val="17"/>
        </w:numPr>
        <w:rPr>
          <w:rFonts w:ascii="Arial" w:cs="Arial" w:eastAsia="Arial" w:hAnsi="Arial"/>
          <w:sz w:val="10"/>
          <w:szCs w:val="10"/>
          <w:color w:val="auto"/>
        </w:rPr>
      </w:pPr>
      <w:r>
        <w:rPr>
          <w:rFonts w:ascii="Arial" w:cs="Arial" w:eastAsia="Arial" w:hAnsi="Arial"/>
          <w:sz w:val="10"/>
          <w:szCs w:val="10"/>
          <w:color w:val="auto"/>
        </w:rPr>
        <w:t>Assets in the Corporate and Eliminations column primarily include cash, prepaids and debt issuance costs for our TRP Revolver.</w:t>
      </w:r>
    </w:p>
    <w:p>
      <w:pPr>
        <w:spacing w:after="0" w:line="125"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following table shows our consolidated revenues disaggregated by product and service for the periods presented:</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0"/>
                <w:szCs w:val="10"/>
                <w:b w:val="1"/>
                <w:bCs w:val="1"/>
                <w:color w:val="auto"/>
              </w:rPr>
              <w:t>Three Months Ended March 31,</w:t>
            </w:r>
          </w:p>
        </w:tc>
        <w:tc>
          <w:tcPr>
            <w:tcW w:w="14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5240" w:type="dxa"/>
            <w:vAlign w:val="bottom"/>
            <w:tcBorders>
              <w:bottom w:val="single" w:sz="8" w:color="CFF0FC"/>
            </w:tcBorders>
          </w:tcPr>
          <w:p>
            <w:pPr>
              <w:spacing w:after="0"/>
              <w:rPr>
                <w:sz w:val="8"/>
                <w:szCs w:val="8"/>
                <w:color w:val="auto"/>
              </w:rPr>
            </w:pPr>
          </w:p>
        </w:tc>
        <w:tc>
          <w:tcPr>
            <w:tcW w:w="1200" w:type="dxa"/>
            <w:vAlign w:val="bottom"/>
            <w:tcBorders>
              <w:bottom w:val="single" w:sz="8" w:color="CFF0FC"/>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jc w:val="right"/>
              <w:ind w:right="950"/>
              <w:spacing w:after="0" w:line="103"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CFF0FC"/>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jc w:val="right"/>
              <w:ind w:right="970"/>
              <w:spacing w:after="0" w:line="103" w:lineRule="exact"/>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gridSpan w:val="2"/>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Sales of commodities:</w:t>
            </w:r>
          </w:p>
        </w:tc>
        <w:tc>
          <w:tcPr>
            <w:tcW w:w="12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6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4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4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Revenue recognized from contracts with customers:</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40" w:type="dxa"/>
            <w:vAlign w:val="bottom"/>
            <w:shd w:val="clear" w:color="auto" w:fill="CFF0FC"/>
          </w:tcPr>
          <w:p>
            <w:pPr>
              <w:ind w:left="200"/>
              <w:spacing w:after="0" w:line="113" w:lineRule="exact"/>
              <w:rPr>
                <w:sz w:val="20"/>
                <w:szCs w:val="20"/>
                <w:color w:val="auto"/>
              </w:rPr>
            </w:pPr>
            <w:r>
              <w:rPr>
                <w:rFonts w:ascii="Arial" w:cs="Arial" w:eastAsia="Arial" w:hAnsi="Arial"/>
                <w:sz w:val="10"/>
                <w:szCs w:val="10"/>
                <w:color w:val="auto"/>
              </w:rPr>
              <w:t>Natural gas</w:t>
            </w:r>
          </w:p>
        </w:tc>
        <w:tc>
          <w:tcPr>
            <w:tcW w:w="1720" w:type="dxa"/>
            <w:vAlign w:val="bottom"/>
            <w:gridSpan w:val="2"/>
            <w:shd w:val="clear" w:color="auto" w:fill="CFF0FC"/>
          </w:tcPr>
          <w:p>
            <w:pPr>
              <w:jc w:val="right"/>
              <w:ind w:right="410"/>
              <w:spacing w:after="0" w:line="113" w:lineRule="exact"/>
              <w:rPr>
                <w:sz w:val="20"/>
                <w:szCs w:val="20"/>
                <w:color w:val="auto"/>
              </w:rPr>
            </w:pPr>
            <w:r>
              <w:rPr>
                <w:rFonts w:ascii="Arial" w:cs="Arial" w:eastAsia="Arial" w:hAnsi="Arial"/>
                <w:sz w:val="10"/>
                <w:szCs w:val="10"/>
                <w:color w:val="auto"/>
              </w:rPr>
              <w:t>$</w:t>
            </w:r>
          </w:p>
        </w:tc>
        <w:tc>
          <w:tcPr>
            <w:tcW w:w="16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411.3</w:t>
            </w:r>
          </w:p>
        </w:tc>
        <w:tc>
          <w:tcPr>
            <w:tcW w:w="20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95"/>
              <w:spacing w:after="0" w:line="113" w:lineRule="exact"/>
              <w:rPr>
                <w:sz w:val="20"/>
                <w:szCs w:val="20"/>
                <w:color w:val="auto"/>
              </w:rPr>
            </w:pPr>
            <w:r>
              <w:rPr>
                <w:rFonts w:ascii="Arial" w:cs="Arial" w:eastAsia="Arial" w:hAnsi="Arial"/>
                <w:sz w:val="10"/>
                <w:szCs w:val="10"/>
                <w:color w:val="auto"/>
              </w:rPr>
              <w:t>$</w:t>
            </w:r>
          </w:p>
        </w:tc>
        <w:tc>
          <w:tcPr>
            <w:tcW w:w="14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470.1</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40" w:type="dxa"/>
            <w:vAlign w:val="bottom"/>
          </w:tcPr>
          <w:p>
            <w:pPr>
              <w:ind w:left="200"/>
              <w:spacing w:after="0" w:line="113" w:lineRule="exact"/>
              <w:rPr>
                <w:sz w:val="20"/>
                <w:szCs w:val="20"/>
                <w:color w:val="auto"/>
              </w:rPr>
            </w:pPr>
            <w:r>
              <w:rPr>
                <w:rFonts w:ascii="Arial" w:cs="Arial" w:eastAsia="Arial" w:hAnsi="Arial"/>
                <w:sz w:val="10"/>
                <w:szCs w:val="10"/>
                <w:color w:val="auto"/>
              </w:rPr>
              <w:t>NGL</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jc w:val="right"/>
              <w:spacing w:after="0" w:line="113" w:lineRule="exact"/>
              <w:rPr>
                <w:sz w:val="20"/>
                <w:szCs w:val="20"/>
                <w:color w:val="auto"/>
              </w:rPr>
            </w:pPr>
            <w:r>
              <w:rPr>
                <w:rFonts w:ascii="Arial" w:cs="Arial" w:eastAsia="Arial" w:hAnsi="Arial"/>
                <w:sz w:val="10"/>
                <w:szCs w:val="10"/>
                <w:color w:val="auto"/>
              </w:rPr>
              <w:t>1,408.1</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60" w:type="dxa"/>
            <w:vAlign w:val="bottom"/>
          </w:tcPr>
          <w:p>
            <w:pPr>
              <w:jc w:val="right"/>
              <w:spacing w:after="0" w:line="113" w:lineRule="exact"/>
              <w:rPr>
                <w:sz w:val="20"/>
                <w:szCs w:val="20"/>
                <w:color w:val="auto"/>
              </w:rPr>
            </w:pPr>
            <w:r>
              <w:rPr>
                <w:rFonts w:ascii="Arial" w:cs="Arial" w:eastAsia="Arial" w:hAnsi="Arial"/>
                <w:sz w:val="10"/>
                <w:szCs w:val="10"/>
                <w:color w:val="auto"/>
              </w:rPr>
              <w:t>1,607.3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40" w:type="dxa"/>
            <w:vAlign w:val="bottom"/>
            <w:shd w:val="clear" w:color="auto" w:fill="CFF0FC"/>
          </w:tcPr>
          <w:p>
            <w:pPr>
              <w:ind w:left="200"/>
              <w:spacing w:after="0" w:line="113" w:lineRule="exact"/>
              <w:rPr>
                <w:sz w:val="20"/>
                <w:szCs w:val="20"/>
                <w:color w:val="auto"/>
              </w:rPr>
            </w:pPr>
            <w:r>
              <w:rPr>
                <w:rFonts w:ascii="Arial" w:cs="Arial" w:eastAsia="Arial" w:hAnsi="Arial"/>
                <w:sz w:val="10"/>
                <w:szCs w:val="10"/>
                <w:color w:val="auto"/>
              </w:rPr>
              <w:t>Condensate and crude oil</w:t>
            </w:r>
          </w:p>
        </w:tc>
        <w:tc>
          <w:tcPr>
            <w:tcW w:w="1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137.7</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4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86.9</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5240" w:type="dxa"/>
            <w:vAlign w:val="bottom"/>
            <w:tcBorders>
              <w:bottom w:val="single" w:sz="8" w:color="CFF0FC"/>
            </w:tcBorders>
          </w:tcPr>
          <w:p>
            <w:pPr>
              <w:ind w:left="200"/>
              <w:spacing w:after="0" w:line="113" w:lineRule="exact"/>
              <w:rPr>
                <w:sz w:val="20"/>
                <w:szCs w:val="20"/>
                <w:color w:val="auto"/>
              </w:rPr>
            </w:pPr>
            <w:r>
              <w:rPr>
                <w:rFonts w:ascii="Arial" w:cs="Arial" w:eastAsia="Arial" w:hAnsi="Arial"/>
                <w:sz w:val="10"/>
                <w:szCs w:val="10"/>
                <w:color w:val="auto"/>
              </w:rPr>
              <w:t>Petroleum products</w:t>
            </w:r>
          </w:p>
        </w:tc>
        <w:tc>
          <w:tcPr>
            <w:tcW w:w="1200" w:type="dxa"/>
            <w:vAlign w:val="bottom"/>
            <w:tcBorders>
              <w:bottom w:val="single" w:sz="8" w:color="CFF0FC"/>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7.6</w:t>
            </w:r>
          </w:p>
        </w:tc>
        <w:tc>
          <w:tcPr>
            <w:tcW w:w="200" w:type="dxa"/>
            <w:vAlign w:val="bottom"/>
            <w:tcBorders>
              <w:bottom w:val="single" w:sz="8" w:color="CFF0FC"/>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48.2</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4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68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1,964.7</w:t>
            </w: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4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2,212.5</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4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Non-customer revenue:</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40" w:type="dxa"/>
            <w:vAlign w:val="bottom"/>
            <w:shd w:val="clear" w:color="auto" w:fill="CFF0FC"/>
          </w:tcPr>
          <w:p>
            <w:pPr>
              <w:ind w:left="200"/>
              <w:spacing w:after="0" w:line="113" w:lineRule="exact"/>
              <w:rPr>
                <w:sz w:val="20"/>
                <w:szCs w:val="20"/>
                <w:color w:val="auto"/>
              </w:rPr>
            </w:pPr>
            <w:r>
              <w:rPr>
                <w:rFonts w:ascii="Arial" w:cs="Arial" w:eastAsia="Arial" w:hAnsi="Arial"/>
                <w:sz w:val="10"/>
                <w:szCs w:val="10"/>
                <w:color w:val="auto"/>
              </w:rPr>
              <w:t>Derivative activities - Hedge</w:t>
            </w:r>
          </w:p>
        </w:tc>
        <w:tc>
          <w:tcPr>
            <w:tcW w:w="1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21.3</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58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(28.0)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40" w:type="dxa"/>
            <w:vAlign w:val="bottom"/>
          </w:tcPr>
          <w:p>
            <w:pPr>
              <w:ind w:left="200"/>
              <w:spacing w:after="0" w:line="113" w:lineRule="exact"/>
              <w:rPr>
                <w:sz w:val="20"/>
                <w:szCs w:val="20"/>
                <w:color w:val="auto"/>
              </w:rPr>
            </w:pPr>
            <w:r>
              <w:rPr>
                <w:rFonts w:ascii="Arial" w:cs="Arial" w:eastAsia="Arial" w:hAnsi="Arial"/>
                <w:sz w:val="10"/>
                <w:szCs w:val="10"/>
                <w:color w:val="auto"/>
              </w:rPr>
              <w:t>Derivative activities - Non-hedge (1)</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8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(9.5)</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8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4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68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11.8</w:t>
            </w: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580" w:type="dxa"/>
            <w:vAlign w:val="bottom"/>
            <w:gridSpan w:val="2"/>
            <w:shd w:val="clear" w:color="auto" w:fill="CFF0FC"/>
          </w:tcPr>
          <w:p>
            <w:pPr>
              <w:jc w:val="right"/>
              <w:ind w:right="100"/>
              <w:spacing w:after="0" w:line="103" w:lineRule="exact"/>
              <w:rPr>
                <w:sz w:val="20"/>
                <w:szCs w:val="20"/>
                <w:color w:val="auto"/>
              </w:rPr>
            </w:pPr>
            <w:r>
              <w:rPr>
                <w:rFonts w:ascii="Arial" w:cs="Arial" w:eastAsia="Arial" w:hAnsi="Arial"/>
                <w:sz w:val="10"/>
                <w:szCs w:val="10"/>
                <w:color w:val="auto"/>
              </w:rPr>
              <w:t>(38.8)</w:t>
            </w:r>
          </w:p>
        </w:tc>
        <w:tc>
          <w:tcPr>
            <w:tcW w:w="0" w:type="dxa"/>
            <w:vAlign w:val="bottom"/>
          </w:tcPr>
          <w:p>
            <w:pPr>
              <w:spacing w:after="0"/>
              <w:rPr>
                <w:sz w:val="1"/>
                <w:szCs w:val="1"/>
                <w:color w:val="auto"/>
              </w:rPr>
            </w:pPr>
          </w:p>
        </w:tc>
      </w:tr>
      <w:tr>
        <w:trPr>
          <w:trHeight w:val="102"/>
        </w:trPr>
        <w:tc>
          <w:tcPr>
            <w:tcW w:w="5380" w:type="dxa"/>
            <w:vAlign w:val="bottom"/>
            <w:gridSpan w:val="3"/>
          </w:tcPr>
          <w:p>
            <w:pPr>
              <w:spacing w:after="0" w:line="103" w:lineRule="exact"/>
              <w:rPr>
                <w:sz w:val="20"/>
                <w:szCs w:val="20"/>
                <w:color w:val="auto"/>
              </w:rPr>
            </w:pPr>
            <w:r>
              <w:rPr>
                <w:rFonts w:ascii="Arial" w:cs="Arial" w:eastAsia="Arial" w:hAnsi="Arial"/>
                <w:sz w:val="10"/>
                <w:szCs w:val="10"/>
                <w:color w:val="auto"/>
              </w:rPr>
              <w:t>Total sales of commodities</w:t>
            </w:r>
          </w:p>
        </w:tc>
        <w:tc>
          <w:tcPr>
            <w:tcW w:w="12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8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1,976.5</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46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2,173.7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5240" w:type="dxa"/>
            <w:vAlign w:val="bottom"/>
            <w:tcBorders>
              <w:top w:val="single" w:sz="8" w:color="CFF0FC"/>
            </w:tcBorders>
            <w:shd w:val="clear" w:color="auto" w:fill="CFF0FC"/>
          </w:tcPr>
          <w:p>
            <w:pPr>
              <w:spacing w:after="0"/>
              <w:rPr>
                <w:sz w:val="8"/>
                <w:szCs w:val="8"/>
                <w:color w:val="auto"/>
              </w:rPr>
            </w:pPr>
          </w:p>
        </w:tc>
        <w:tc>
          <w:tcPr>
            <w:tcW w:w="1200" w:type="dxa"/>
            <w:vAlign w:val="bottom"/>
            <w:tcBorders>
              <w:top w:val="single" w:sz="8" w:color="CFF0FC"/>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1680" w:type="dxa"/>
            <w:vAlign w:val="bottom"/>
            <w:tcBorders>
              <w:top w:val="single" w:sz="8" w:color="auto"/>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CFF0FC"/>
            </w:tcBorders>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spacing w:after="0"/>
              <w:rPr>
                <w:sz w:val="8"/>
                <w:szCs w:val="8"/>
                <w:color w:val="auto"/>
              </w:rPr>
            </w:pPr>
          </w:p>
        </w:tc>
        <w:tc>
          <w:tcPr>
            <w:tcW w:w="146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536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Fees from midstream services:</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40" w:type="dxa"/>
            <w:vAlign w:val="bottom"/>
            <w:shd w:val="clear" w:color="auto" w:fill="CFF0FC"/>
          </w:tcPr>
          <w:p>
            <w:pPr>
              <w:ind w:left="20"/>
              <w:spacing w:after="0" w:line="113" w:lineRule="exact"/>
              <w:rPr>
                <w:sz w:val="20"/>
                <w:szCs w:val="20"/>
                <w:color w:val="auto"/>
              </w:rPr>
            </w:pPr>
            <w:r>
              <w:rPr>
                <w:rFonts w:ascii="Arial" w:cs="Arial" w:eastAsia="Arial" w:hAnsi="Arial"/>
                <w:sz w:val="10"/>
                <w:szCs w:val="10"/>
                <w:b w:val="1"/>
                <w:bCs w:val="1"/>
                <w:color w:val="auto"/>
              </w:rPr>
              <w:t>Revenue recognized from contracts with customers:</w:t>
            </w:r>
          </w:p>
        </w:tc>
        <w:tc>
          <w:tcPr>
            <w:tcW w:w="1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40" w:type="dxa"/>
            <w:vAlign w:val="bottom"/>
          </w:tcPr>
          <w:p>
            <w:pPr>
              <w:ind w:left="200"/>
              <w:spacing w:after="0" w:line="113" w:lineRule="exact"/>
              <w:rPr>
                <w:sz w:val="20"/>
                <w:szCs w:val="20"/>
                <w:color w:val="auto"/>
              </w:rPr>
            </w:pPr>
            <w:r>
              <w:rPr>
                <w:rFonts w:ascii="Arial" w:cs="Arial" w:eastAsia="Arial" w:hAnsi="Arial"/>
                <w:sz w:val="10"/>
                <w:szCs w:val="10"/>
                <w:color w:val="auto"/>
              </w:rPr>
              <w:t>NGL transportation and services</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jc w:val="right"/>
              <w:spacing w:after="0" w:line="113" w:lineRule="exact"/>
              <w:rPr>
                <w:sz w:val="20"/>
                <w:szCs w:val="20"/>
                <w:color w:val="auto"/>
              </w:rPr>
            </w:pPr>
            <w:r>
              <w:rPr>
                <w:rFonts w:ascii="Arial" w:cs="Arial" w:eastAsia="Arial" w:hAnsi="Arial"/>
                <w:sz w:val="10"/>
                <w:szCs w:val="10"/>
                <w:color w:val="auto"/>
              </w:rPr>
              <w:t>36.2</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60" w:type="dxa"/>
            <w:vAlign w:val="bottom"/>
          </w:tcPr>
          <w:p>
            <w:pPr>
              <w:jc w:val="right"/>
              <w:spacing w:after="0" w:line="113" w:lineRule="exact"/>
              <w:rPr>
                <w:sz w:val="20"/>
                <w:szCs w:val="20"/>
                <w:color w:val="auto"/>
              </w:rPr>
            </w:pPr>
            <w:r>
              <w:rPr>
                <w:rFonts w:ascii="Arial" w:cs="Arial" w:eastAsia="Arial" w:hAnsi="Arial"/>
                <w:sz w:val="10"/>
                <w:szCs w:val="10"/>
                <w:color w:val="auto"/>
              </w:rPr>
              <w:t>41.1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40" w:type="dxa"/>
            <w:vAlign w:val="bottom"/>
            <w:shd w:val="clear" w:color="auto" w:fill="CFF0FC"/>
          </w:tcPr>
          <w:p>
            <w:pPr>
              <w:ind w:left="200"/>
              <w:spacing w:after="0" w:line="113" w:lineRule="exact"/>
              <w:rPr>
                <w:sz w:val="20"/>
                <w:szCs w:val="20"/>
                <w:color w:val="auto"/>
              </w:rPr>
            </w:pPr>
            <w:r>
              <w:rPr>
                <w:rFonts w:ascii="Arial" w:cs="Arial" w:eastAsia="Arial" w:hAnsi="Arial"/>
                <w:sz w:val="10"/>
                <w:szCs w:val="10"/>
                <w:color w:val="auto"/>
              </w:rPr>
              <w:t>Storage, terminaling and export</w:t>
            </w:r>
          </w:p>
        </w:tc>
        <w:tc>
          <w:tcPr>
            <w:tcW w:w="1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79.6</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4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78.2</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40" w:type="dxa"/>
            <w:vAlign w:val="bottom"/>
          </w:tcPr>
          <w:p>
            <w:pPr>
              <w:ind w:left="200"/>
              <w:spacing w:after="0" w:line="113" w:lineRule="exact"/>
              <w:rPr>
                <w:sz w:val="20"/>
                <w:szCs w:val="20"/>
                <w:color w:val="auto"/>
              </w:rPr>
            </w:pPr>
            <w:r>
              <w:rPr>
                <w:rFonts w:ascii="Arial" w:cs="Arial" w:eastAsia="Arial" w:hAnsi="Arial"/>
                <w:sz w:val="10"/>
                <w:szCs w:val="10"/>
                <w:color w:val="auto"/>
              </w:rPr>
              <w:t>Gathering and processing</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jc w:val="right"/>
              <w:spacing w:after="0" w:line="113" w:lineRule="exact"/>
              <w:rPr>
                <w:sz w:val="20"/>
                <w:szCs w:val="20"/>
                <w:color w:val="auto"/>
              </w:rPr>
            </w:pPr>
            <w:r>
              <w:rPr>
                <w:rFonts w:ascii="Arial" w:cs="Arial" w:eastAsia="Arial" w:hAnsi="Arial"/>
                <w:sz w:val="10"/>
                <w:szCs w:val="10"/>
                <w:color w:val="auto"/>
              </w:rPr>
              <w:t>194.5</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60" w:type="dxa"/>
            <w:vAlign w:val="bottom"/>
          </w:tcPr>
          <w:p>
            <w:pPr>
              <w:jc w:val="right"/>
              <w:spacing w:after="0" w:line="113" w:lineRule="exact"/>
              <w:rPr>
                <w:sz w:val="20"/>
                <w:szCs w:val="20"/>
                <w:color w:val="auto"/>
              </w:rPr>
            </w:pPr>
            <w:r>
              <w:rPr>
                <w:rFonts w:ascii="Arial" w:cs="Arial" w:eastAsia="Arial" w:hAnsi="Arial"/>
                <w:sz w:val="10"/>
                <w:szCs w:val="10"/>
                <w:color w:val="auto"/>
              </w:rPr>
              <w:t>152.1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40" w:type="dxa"/>
            <w:vAlign w:val="bottom"/>
            <w:shd w:val="clear" w:color="auto" w:fill="CFF0FC"/>
          </w:tcPr>
          <w:p>
            <w:pPr>
              <w:ind w:left="200"/>
              <w:spacing w:after="0" w:line="113" w:lineRule="exact"/>
              <w:rPr>
                <w:sz w:val="20"/>
                <w:szCs w:val="20"/>
                <w:color w:val="auto"/>
              </w:rPr>
            </w:pPr>
            <w:r>
              <w:rPr>
                <w:rFonts w:ascii="Arial" w:cs="Arial" w:eastAsia="Arial" w:hAnsi="Arial"/>
                <w:sz w:val="10"/>
                <w:szCs w:val="10"/>
                <w:color w:val="auto"/>
              </w:rPr>
              <w:t>Other</w:t>
            </w:r>
          </w:p>
        </w:tc>
        <w:tc>
          <w:tcPr>
            <w:tcW w:w="1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12.6</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4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10.5</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80" w:type="dxa"/>
            <w:vAlign w:val="bottom"/>
            <w:gridSpan w:val="3"/>
          </w:tcPr>
          <w:p>
            <w:pPr>
              <w:spacing w:after="0"/>
              <w:rPr>
                <w:sz w:val="9"/>
                <w:szCs w:val="9"/>
                <w:color w:val="auto"/>
              </w:rPr>
            </w:pP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Borders>
              <w:top w:val="single" w:sz="8" w:color="CFF0FC"/>
            </w:tcBorders>
            <w:gridSpan w:val="2"/>
            <w:shd w:val="clear" w:color="auto" w:fill="CFF0FC"/>
          </w:tcPr>
          <w:p>
            <w:pPr>
              <w:spacing w:after="0" w:line="103" w:lineRule="exact"/>
              <w:rPr>
                <w:sz w:val="20"/>
                <w:szCs w:val="20"/>
                <w:color w:val="auto"/>
              </w:rPr>
            </w:pPr>
            <w:r>
              <w:rPr>
                <w:rFonts w:ascii="Arial" w:cs="Arial" w:eastAsia="Arial" w:hAnsi="Arial"/>
                <w:sz w:val="10"/>
                <w:szCs w:val="10"/>
                <w:color w:val="auto"/>
              </w:rPr>
              <w:t>Total fees from midstream services</w:t>
            </w:r>
          </w:p>
        </w:tc>
        <w:tc>
          <w:tcPr>
            <w:tcW w:w="1200" w:type="dxa"/>
            <w:vAlign w:val="bottom"/>
            <w:tcBorders>
              <w:top w:val="single" w:sz="8" w:color="CFF0FC"/>
            </w:tcBorders>
            <w:shd w:val="clear" w:color="auto" w:fill="CFF0FC"/>
          </w:tcPr>
          <w:p>
            <w:pPr>
              <w:spacing w:after="0"/>
              <w:rPr>
                <w:sz w:val="8"/>
                <w:szCs w:val="8"/>
                <w:color w:val="auto"/>
              </w:rPr>
            </w:pPr>
          </w:p>
        </w:tc>
        <w:tc>
          <w:tcPr>
            <w:tcW w:w="520" w:type="dxa"/>
            <w:vAlign w:val="bottom"/>
            <w:tcBorders>
              <w:top w:val="single" w:sz="8" w:color="auto"/>
              <w:bottom w:val="single" w:sz="8" w:color="auto"/>
            </w:tcBorders>
            <w:shd w:val="clear" w:color="auto" w:fill="CFF0FC"/>
          </w:tcPr>
          <w:p>
            <w:pPr>
              <w:spacing w:after="0"/>
              <w:rPr>
                <w:sz w:val="8"/>
                <w:szCs w:val="8"/>
                <w:color w:val="auto"/>
              </w:rPr>
            </w:pPr>
          </w:p>
        </w:tc>
        <w:tc>
          <w:tcPr>
            <w:tcW w:w="168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322.9</w:t>
            </w:r>
          </w:p>
        </w:tc>
        <w:tc>
          <w:tcPr>
            <w:tcW w:w="2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CFF0FC"/>
            </w:tcBorders>
            <w:shd w:val="clear" w:color="auto" w:fill="CFF0FC"/>
          </w:tcPr>
          <w:p>
            <w:pPr>
              <w:spacing w:after="0"/>
              <w:rPr>
                <w:sz w:val="8"/>
                <w:szCs w:val="8"/>
                <w:color w:val="auto"/>
              </w:rPr>
            </w:pPr>
          </w:p>
        </w:tc>
        <w:tc>
          <w:tcPr>
            <w:tcW w:w="760" w:type="dxa"/>
            <w:vAlign w:val="bottom"/>
            <w:tcBorders>
              <w:top w:val="single" w:sz="8" w:color="auto"/>
              <w:bottom w:val="single" w:sz="8" w:color="auto"/>
            </w:tcBorders>
            <w:shd w:val="clear" w:color="auto" w:fill="CFF0FC"/>
          </w:tcPr>
          <w:p>
            <w:pPr>
              <w:spacing w:after="0"/>
              <w:rPr>
                <w:sz w:val="8"/>
                <w:szCs w:val="8"/>
                <w:color w:val="auto"/>
              </w:rPr>
            </w:pPr>
          </w:p>
        </w:tc>
        <w:tc>
          <w:tcPr>
            <w:tcW w:w="146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281.9</w:t>
            </w: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5240" w:type="dxa"/>
            <w:vAlign w:val="bottom"/>
            <w:tcBorders>
              <w:bottom w:val="single" w:sz="8" w:color="CFF0FC"/>
            </w:tcBorders>
          </w:tcPr>
          <w:p>
            <w:pPr>
              <w:spacing w:after="0"/>
              <w:rPr>
                <w:sz w:val="8"/>
                <w:szCs w:val="8"/>
                <w:color w:val="auto"/>
              </w:rPr>
            </w:pPr>
          </w:p>
        </w:tc>
        <w:tc>
          <w:tcPr>
            <w:tcW w:w="1200" w:type="dxa"/>
            <w:vAlign w:val="bottom"/>
            <w:tcBorders>
              <w:bottom w:val="single" w:sz="8" w:color="CFF0FC"/>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00" w:type="dxa"/>
            <w:vAlign w:val="bottom"/>
            <w:tcBorders>
              <w:bottom w:val="single" w:sz="8" w:color="CFF0FC"/>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Borders>
              <w:bottom w:val="single" w:sz="8" w:color="CFF0FC"/>
            </w:tcBorders>
            <w:gridSpan w:val="2"/>
            <w:shd w:val="clear" w:color="auto" w:fill="CFF0FC"/>
          </w:tcPr>
          <w:p>
            <w:pPr>
              <w:spacing w:after="0" w:line="103" w:lineRule="exact"/>
              <w:rPr>
                <w:sz w:val="20"/>
                <w:szCs w:val="20"/>
                <w:color w:val="auto"/>
              </w:rPr>
            </w:pPr>
            <w:r>
              <w:rPr>
                <w:rFonts w:ascii="Arial" w:cs="Arial" w:eastAsia="Arial" w:hAnsi="Arial"/>
                <w:sz w:val="10"/>
                <w:szCs w:val="10"/>
                <w:color w:val="auto"/>
              </w:rPr>
              <w:t>Total revenues</w:t>
            </w:r>
          </w:p>
        </w:tc>
        <w:tc>
          <w:tcPr>
            <w:tcW w:w="1200" w:type="dxa"/>
            <w:vAlign w:val="bottom"/>
            <w:tcBorders>
              <w:bottom w:val="single" w:sz="8" w:color="CFF0FC"/>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ind w:right="410"/>
              <w:spacing w:after="0" w:line="103" w:lineRule="exact"/>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2,299.4</w:t>
            </w:r>
          </w:p>
        </w:tc>
        <w:tc>
          <w:tcPr>
            <w:tcW w:w="200" w:type="dxa"/>
            <w:vAlign w:val="bottom"/>
            <w:tcBorders>
              <w:bottom w:val="single" w:sz="8" w:color="CFF0FC"/>
            </w:tcBorders>
            <w:shd w:val="clear" w:color="auto" w:fill="CFF0FC"/>
          </w:tcPr>
          <w:p>
            <w:pPr>
              <w:spacing w:after="0"/>
              <w:rPr>
                <w:sz w:val="8"/>
                <w:szCs w:val="8"/>
                <w:color w:val="auto"/>
              </w:rPr>
            </w:pPr>
          </w:p>
        </w:tc>
        <w:tc>
          <w:tcPr>
            <w:tcW w:w="160" w:type="dxa"/>
            <w:vAlign w:val="bottom"/>
            <w:tcBorders>
              <w:bottom w:val="single" w:sz="8" w:color="CFF0FC"/>
            </w:tcBorders>
            <w:shd w:val="clear" w:color="auto" w:fill="CFF0FC"/>
          </w:tcPr>
          <w:p>
            <w:pPr>
              <w:spacing w:after="0"/>
              <w:rPr>
                <w:sz w:val="8"/>
                <w:szCs w:val="8"/>
                <w:color w:val="auto"/>
              </w:rPr>
            </w:pPr>
          </w:p>
        </w:tc>
        <w:tc>
          <w:tcPr>
            <w:tcW w:w="760" w:type="dxa"/>
            <w:vAlign w:val="bottom"/>
            <w:tcBorders>
              <w:bottom w:val="single" w:sz="8" w:color="auto"/>
            </w:tcBorders>
            <w:shd w:val="clear" w:color="auto" w:fill="CFF0FC"/>
          </w:tcPr>
          <w:p>
            <w:pPr>
              <w:jc w:val="right"/>
              <w:ind w:right="695"/>
              <w:spacing w:after="0"/>
              <w:rPr>
                <w:sz w:val="20"/>
                <w:szCs w:val="20"/>
                <w:color w:val="auto"/>
              </w:rPr>
            </w:pPr>
            <w:r>
              <w:rPr>
                <w:rFonts w:ascii="Arial" w:cs="Arial" w:eastAsia="Arial" w:hAnsi="Arial"/>
                <w:sz w:val="5"/>
                <w:szCs w:val="5"/>
                <w:color w:val="auto"/>
                <w:w w:val="70"/>
              </w:rPr>
              <w:t>$</w:t>
            </w:r>
          </w:p>
        </w:tc>
        <w:tc>
          <w:tcPr>
            <w:tcW w:w="146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2,455.6</w:t>
            </w:r>
          </w:p>
        </w:tc>
        <w:tc>
          <w:tcPr>
            <w:tcW w:w="12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40" w:type="dxa"/>
            <w:vAlign w:val="bottom"/>
            <w:gridSpan w:val="2"/>
            <w:vMerge w:val="restart"/>
          </w:tcPr>
          <w:p>
            <w:pPr>
              <w:spacing w:after="0"/>
              <w:rPr>
                <w:sz w:val="20"/>
                <w:szCs w:val="20"/>
                <w:color w:val="auto"/>
              </w:rPr>
            </w:pPr>
            <w:r>
              <w:rPr>
                <w:rFonts w:ascii="Arial" w:cs="Arial" w:eastAsia="Arial" w:hAnsi="Arial"/>
                <w:sz w:val="10"/>
                <w:szCs w:val="10"/>
                <w:color w:val="auto"/>
                <w:w w:val="97"/>
              </w:rPr>
              <w:t>(1)</w:t>
            </w:r>
          </w:p>
        </w:tc>
        <w:tc>
          <w:tcPr>
            <w:tcW w:w="5240" w:type="dxa"/>
            <w:vAlign w:val="bottom"/>
          </w:tcPr>
          <w:p>
            <w:pPr>
              <w:ind w:left="340"/>
              <w:spacing w:after="0" w:line="28" w:lineRule="exact"/>
              <w:rPr>
                <w:sz w:val="20"/>
                <w:szCs w:val="20"/>
                <w:color w:val="auto"/>
              </w:rPr>
            </w:pPr>
            <w:r>
              <w:rPr>
                <w:rFonts w:ascii="Arial" w:cs="Arial" w:eastAsia="Arial" w:hAnsi="Arial"/>
                <w:sz w:val="3"/>
                <w:szCs w:val="3"/>
                <w:color w:val="auto"/>
              </w:rPr>
              <w:t>__________________________________________________________________________________________</w:t>
            </w:r>
          </w:p>
        </w:tc>
        <w:tc>
          <w:tcPr>
            <w:tcW w:w="1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40" w:type="dxa"/>
            <w:vAlign w:val="bottom"/>
            <w:gridSpan w:val="2"/>
            <w:vMerge w:val="continue"/>
          </w:tcPr>
          <w:p>
            <w:pPr>
              <w:spacing w:after="0"/>
              <w:rPr>
                <w:sz w:val="11"/>
                <w:szCs w:val="11"/>
                <w:color w:val="auto"/>
              </w:rPr>
            </w:pPr>
          </w:p>
        </w:tc>
        <w:tc>
          <w:tcPr>
            <w:tcW w:w="5240" w:type="dxa"/>
            <w:vAlign w:val="bottom"/>
          </w:tcPr>
          <w:p>
            <w:pPr>
              <w:ind w:left="240"/>
              <w:spacing w:after="0"/>
              <w:rPr>
                <w:sz w:val="20"/>
                <w:szCs w:val="20"/>
                <w:color w:val="auto"/>
              </w:rPr>
            </w:pPr>
            <w:r>
              <w:rPr>
                <w:rFonts w:ascii="Arial" w:cs="Arial" w:eastAsia="Arial" w:hAnsi="Arial"/>
                <w:sz w:val="10"/>
                <w:szCs w:val="10"/>
                <w:color w:val="auto"/>
              </w:rPr>
              <w:t>Represents derivative activities that are not designated as hedging instruments under ASC 815.</w:t>
            </w: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following table shows a reconciliation of reportable segment operating margin to income (loss) before income taxes for the periods presented:</w:t>
      </w:r>
    </w:p>
    <w:p>
      <w:pPr>
        <w:sectPr>
          <w:pgSz w:w="11900" w:h="16838" w:orient="portrait"/>
          <w:cols w:equalWidth="0" w:num="1">
            <w:col w:w="11485"/>
          </w:cols>
          <w:pgMar w:left="215" w:top="285" w:right="199" w:bottom="1440" w:gutter="0" w:footer="0" w:header="0"/>
        </w:sectPr>
      </w:pPr>
    </w:p>
    <w:p>
      <w:pPr>
        <w:spacing w:after="0" w:line="249" w:lineRule="exact"/>
        <w:rPr>
          <w:sz w:val="20"/>
          <w:szCs w:val="20"/>
          <w:color w:val="auto"/>
        </w:rPr>
      </w:pPr>
    </w:p>
    <w:p>
      <w:pPr>
        <w:ind w:left="5"/>
        <w:spacing w:after="0"/>
        <w:rPr>
          <w:sz w:val="20"/>
          <w:szCs w:val="20"/>
          <w:color w:val="auto"/>
        </w:rPr>
      </w:pPr>
      <w:r>
        <w:rPr>
          <w:rFonts w:ascii="Arial" w:cs="Arial" w:eastAsia="Arial" w:hAnsi="Arial"/>
          <w:sz w:val="8"/>
          <w:szCs w:val="8"/>
          <w:b w:val="1"/>
          <w:bCs w:val="1"/>
          <w:color w:val="auto"/>
        </w:rPr>
        <w:t>Reconciliation of reportable segment operating</w:t>
      </w:r>
    </w:p>
    <w:p>
      <w:pPr>
        <w:spacing w:after="0" w:line="21" w:lineRule="exact"/>
        <w:rPr>
          <w:sz w:val="20"/>
          <w:szCs w:val="20"/>
          <w:color w:val="auto"/>
        </w:rPr>
      </w:pPr>
    </w:p>
    <w:p>
      <w:pPr>
        <w:ind w:left="5"/>
        <w:spacing w:after="0"/>
        <w:rPr>
          <w:sz w:val="20"/>
          <w:szCs w:val="20"/>
          <w:color w:val="auto"/>
        </w:rPr>
      </w:pPr>
      <w:r>
        <w:rPr>
          <w:rFonts w:ascii="Arial" w:cs="Arial" w:eastAsia="Arial" w:hAnsi="Arial"/>
          <w:sz w:val="9"/>
          <w:szCs w:val="9"/>
          <w:b w:val="1"/>
          <w:bCs w:val="1"/>
          <w:color w:val="auto"/>
        </w:rPr>
        <w:t>margin to income (loss) before income taxes:</w:t>
      </w:r>
    </w:p>
    <w:p>
      <w:pPr>
        <w:spacing w:after="0" w:line="7" w:lineRule="exact"/>
        <w:rPr>
          <w:sz w:val="20"/>
          <w:szCs w:val="20"/>
          <w:color w:val="auto"/>
        </w:rPr>
      </w:pPr>
    </w:p>
    <w:p>
      <w:pPr>
        <w:ind w:left="5"/>
        <w:spacing w:after="0"/>
        <w:rPr>
          <w:sz w:val="20"/>
          <w:szCs w:val="20"/>
          <w:color w:val="auto"/>
        </w:rPr>
      </w:pPr>
      <w:r>
        <w:rPr>
          <w:rFonts w:ascii="Arial" w:cs="Arial" w:eastAsia="Arial" w:hAnsi="Arial"/>
          <w:sz w:val="10"/>
          <w:szCs w:val="10"/>
          <w:color w:val="auto"/>
        </w:rPr>
        <w:t>Gathering and Processing operating margin</w:t>
      </w:r>
    </w:p>
    <w:p>
      <w:pPr>
        <w:ind w:left="5"/>
        <w:spacing w:after="0" w:line="235" w:lineRule="auto"/>
        <w:rPr>
          <w:sz w:val="20"/>
          <w:szCs w:val="20"/>
          <w:color w:val="auto"/>
        </w:rPr>
      </w:pPr>
      <w:r>
        <w:rPr>
          <w:rFonts w:ascii="Arial" w:cs="Arial" w:eastAsia="Arial" w:hAnsi="Arial"/>
          <w:sz w:val="10"/>
          <w:szCs w:val="10"/>
          <w:color w:val="auto"/>
        </w:rPr>
        <w:t>Logistics and Marketing operating margin</w:t>
      </w:r>
    </w:p>
    <w:p>
      <w:pPr>
        <w:ind w:left="5"/>
        <w:spacing w:after="0" w:line="236" w:lineRule="auto"/>
        <w:rPr>
          <w:sz w:val="20"/>
          <w:szCs w:val="20"/>
          <w:color w:val="auto"/>
        </w:rPr>
      </w:pPr>
      <w:r>
        <w:rPr>
          <w:rFonts w:ascii="Arial" w:cs="Arial" w:eastAsia="Arial" w:hAnsi="Arial"/>
          <w:sz w:val="10"/>
          <w:szCs w:val="10"/>
          <w:color w:val="auto"/>
        </w:rPr>
        <w:t>Other operating margin</w:t>
      </w:r>
    </w:p>
    <w:p>
      <w:pPr>
        <w:ind w:left="5"/>
        <w:spacing w:after="0" w:line="235" w:lineRule="auto"/>
        <w:rPr>
          <w:sz w:val="20"/>
          <w:szCs w:val="20"/>
          <w:color w:val="auto"/>
        </w:rPr>
      </w:pPr>
      <w:r>
        <w:rPr>
          <w:rFonts w:ascii="Arial" w:cs="Arial" w:eastAsia="Arial" w:hAnsi="Arial"/>
          <w:sz w:val="10"/>
          <w:szCs w:val="10"/>
          <w:color w:val="auto"/>
        </w:rPr>
        <w:t>Depreciation and amortization expense</w:t>
      </w:r>
    </w:p>
    <w:p>
      <w:pPr>
        <w:ind w:left="5"/>
        <w:spacing w:after="0" w:line="236" w:lineRule="auto"/>
        <w:rPr>
          <w:sz w:val="20"/>
          <w:szCs w:val="20"/>
          <w:color w:val="auto"/>
        </w:rPr>
      </w:pPr>
      <w:r>
        <w:rPr>
          <w:rFonts w:ascii="Arial" w:cs="Arial" w:eastAsia="Arial" w:hAnsi="Arial"/>
          <w:sz w:val="10"/>
          <w:szCs w:val="10"/>
          <w:color w:val="auto"/>
        </w:rPr>
        <w:t>General and administrative expense</w:t>
      </w:r>
    </w:p>
    <w:p>
      <w:pPr>
        <w:ind w:left="5"/>
        <w:spacing w:after="0" w:line="236" w:lineRule="auto"/>
        <w:rPr>
          <w:sz w:val="20"/>
          <w:szCs w:val="20"/>
          <w:color w:val="auto"/>
        </w:rPr>
      </w:pPr>
      <w:r>
        <w:rPr>
          <w:rFonts w:ascii="Arial" w:cs="Arial" w:eastAsia="Arial" w:hAnsi="Arial"/>
          <w:sz w:val="10"/>
          <w:szCs w:val="10"/>
          <w:color w:val="auto"/>
        </w:rPr>
        <w:t>Interest income (expense), net</w:t>
      </w:r>
    </w:p>
    <w:p>
      <w:pPr>
        <w:ind w:left="5"/>
        <w:spacing w:after="0" w:line="235" w:lineRule="auto"/>
        <w:rPr>
          <w:sz w:val="20"/>
          <w:szCs w:val="20"/>
          <w:color w:val="auto"/>
        </w:rPr>
      </w:pPr>
      <w:r>
        <w:rPr>
          <w:rFonts w:ascii="Arial" w:cs="Arial" w:eastAsia="Arial" w:hAnsi="Arial"/>
          <w:sz w:val="10"/>
          <w:szCs w:val="10"/>
          <w:color w:val="auto"/>
        </w:rPr>
        <w:t>Change in contingent considerations</w:t>
      </w:r>
    </w:p>
    <w:p>
      <w:pPr>
        <w:ind w:left="5"/>
        <w:spacing w:after="0"/>
        <w:rPr>
          <w:sz w:val="20"/>
          <w:szCs w:val="20"/>
          <w:color w:val="auto"/>
        </w:rPr>
      </w:pPr>
      <w:r>
        <w:rPr>
          <w:rFonts w:ascii="Arial" w:cs="Arial" w:eastAsia="Arial" w:hAnsi="Arial"/>
          <w:sz w:val="10"/>
          <w:szCs w:val="10"/>
          <w:color w:val="auto"/>
        </w:rPr>
        <w:t>Other, net</w:t>
      </w:r>
    </w:p>
    <w:p>
      <w:pPr>
        <w:spacing w:after="0" w:line="4" w:lineRule="exact"/>
        <w:rPr>
          <w:sz w:val="20"/>
          <w:szCs w:val="20"/>
          <w:color w:val="auto"/>
        </w:rPr>
      </w:pPr>
    </w:p>
    <w:p>
      <w:pPr>
        <w:ind w:left="5"/>
        <w:spacing w:after="0"/>
        <w:rPr>
          <w:sz w:val="20"/>
          <w:szCs w:val="20"/>
          <w:color w:val="auto"/>
        </w:rPr>
      </w:pPr>
      <w:r>
        <w:rPr>
          <w:rFonts w:ascii="Arial" w:cs="Arial" w:eastAsia="Arial" w:hAnsi="Arial"/>
          <w:sz w:val="10"/>
          <w:szCs w:val="10"/>
          <w:color w:val="auto"/>
        </w:rPr>
        <w:t>Income (loss) before income taxes</w:t>
      </w:r>
    </w:p>
    <w:p>
      <w:pPr>
        <w:spacing w:after="0" w:line="20" w:lineRule="exact"/>
        <w:rPr>
          <w:sz w:val="20"/>
          <w:szCs w:val="20"/>
          <w:color w:val="auto"/>
        </w:rPr>
      </w:pPr>
      <w:r>
        <w:rPr>
          <w:sz w:val="20"/>
          <w:szCs w:val="20"/>
          <w:color w:val="auto"/>
        </w:rPr>
        <w:br w:type="column"/>
      </w:r>
    </w:p>
    <w:p>
      <w:pPr>
        <w:ind w:left="1560"/>
        <w:spacing w:after="0"/>
        <w:rPr>
          <w:sz w:val="20"/>
          <w:szCs w:val="20"/>
          <w:color w:val="auto"/>
        </w:rPr>
      </w:pPr>
      <w:r>
        <w:rPr>
          <w:rFonts w:ascii="Arial" w:cs="Arial" w:eastAsia="Arial" w:hAnsi="Arial"/>
          <w:sz w:val="10"/>
          <w:szCs w:val="10"/>
          <w:b w:val="1"/>
          <w:bCs w:val="1"/>
          <w:color w:val="auto"/>
        </w:rPr>
        <w:t>Three Months Ended March 31,</w:t>
      </w:r>
    </w:p>
    <w:tbl>
      <w:tblPr>
        <w:tblLayout w:type="fixed"/>
        <w:tblInd w:w="0" w:type="dxa"/>
        <w:tblCellMar>
          <w:top w:w="0" w:type="dxa"/>
          <w:left w:w="0" w:type="dxa"/>
          <w:bottom w:w="0" w:type="dxa"/>
          <w:right w:w="0" w:type="dxa"/>
        </w:tblCellMar>
      </w:tblPr>
      <w:tr>
        <w:trPr>
          <w:trHeight w:val="102"/>
        </w:trPr>
        <w:tc>
          <w:tcPr>
            <w:tcW w:w="480" w:type="dxa"/>
            <w:vAlign w:val="bottom"/>
            <w:tcBorders>
              <w:top w:val="single" w:sz="8" w:color="auto"/>
              <w:bottom w:val="single" w:sz="8" w:color="auto"/>
            </w:tcBorders>
          </w:tcPr>
          <w:p>
            <w:pPr>
              <w:spacing w:after="0"/>
              <w:rPr>
                <w:sz w:val="8"/>
                <w:szCs w:val="8"/>
                <w:color w:val="auto"/>
              </w:rPr>
            </w:pPr>
          </w:p>
        </w:tc>
        <w:tc>
          <w:tcPr>
            <w:tcW w:w="1600" w:type="dxa"/>
            <w:vAlign w:val="bottom"/>
            <w:tcBorders>
              <w:top w:val="single" w:sz="8" w:color="auto"/>
              <w:bottom w:val="single" w:sz="8" w:color="auto"/>
            </w:tcBorders>
          </w:tcPr>
          <w:p>
            <w:pPr>
              <w:jc w:val="right"/>
              <w:ind w:right="890"/>
              <w:spacing w:after="0" w:line="103" w:lineRule="exact"/>
              <w:rPr>
                <w:sz w:val="20"/>
                <w:szCs w:val="20"/>
                <w:color w:val="auto"/>
              </w:rPr>
            </w:pPr>
            <w:r>
              <w:rPr>
                <w:rFonts w:ascii="Arial" w:cs="Arial" w:eastAsia="Arial" w:hAnsi="Arial"/>
                <w:sz w:val="10"/>
                <w:szCs w:val="10"/>
                <w:b w:val="1"/>
                <w:bCs w:val="1"/>
                <w:color w:val="auto"/>
              </w:rPr>
              <w:t>2019</w:t>
            </w:r>
          </w:p>
        </w:tc>
        <w:tc>
          <w:tcPr>
            <w:tcW w:w="34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spacing w:after="0"/>
              <w:rPr>
                <w:sz w:val="8"/>
                <w:szCs w:val="8"/>
                <w:color w:val="auto"/>
              </w:rPr>
            </w:pPr>
          </w:p>
        </w:tc>
        <w:tc>
          <w:tcPr>
            <w:tcW w:w="1620" w:type="dxa"/>
            <w:vAlign w:val="bottom"/>
            <w:tcBorders>
              <w:top w:val="single" w:sz="8" w:color="auto"/>
              <w:bottom w:val="single" w:sz="8" w:color="auto"/>
            </w:tcBorders>
          </w:tcPr>
          <w:p>
            <w:pPr>
              <w:jc w:val="right"/>
              <w:ind w:right="910"/>
              <w:spacing w:after="0" w:line="103"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8"/>
                <w:szCs w:val="8"/>
                <w:color w:val="auto"/>
              </w:rPr>
            </w:pPr>
          </w:p>
        </w:tc>
      </w:tr>
      <w:tr>
        <w:trPr>
          <w:trHeight w:val="315"/>
        </w:trPr>
        <w:tc>
          <w:tcPr>
            <w:tcW w:w="480" w:type="dxa"/>
            <w:vAlign w:val="bottom"/>
          </w:tcPr>
          <w:p>
            <w:pPr>
              <w:jc w:val="right"/>
              <w:ind w:right="415"/>
              <w:spacing w:after="0"/>
              <w:rPr>
                <w:sz w:val="20"/>
                <w:szCs w:val="20"/>
                <w:color w:val="auto"/>
              </w:rPr>
            </w:pPr>
            <w:r>
              <w:rPr>
                <w:rFonts w:ascii="Arial" w:cs="Arial" w:eastAsia="Arial" w:hAnsi="Arial"/>
                <w:sz w:val="5"/>
                <w:szCs w:val="5"/>
                <w:color w:val="auto"/>
                <w:w w:val="70"/>
              </w:rPr>
              <w:t>$</w:t>
            </w:r>
          </w:p>
        </w:tc>
        <w:tc>
          <w:tcPr>
            <w:tcW w:w="1600" w:type="dxa"/>
            <w:vAlign w:val="bottom"/>
          </w:tcPr>
          <w:p>
            <w:pPr>
              <w:jc w:val="right"/>
              <w:spacing w:after="0"/>
              <w:rPr>
                <w:sz w:val="20"/>
                <w:szCs w:val="20"/>
                <w:color w:val="auto"/>
              </w:rPr>
            </w:pPr>
            <w:r>
              <w:rPr>
                <w:rFonts w:ascii="Arial" w:cs="Arial" w:eastAsia="Arial" w:hAnsi="Arial"/>
                <w:sz w:val="10"/>
                <w:szCs w:val="10"/>
                <w:color w:val="auto"/>
              </w:rPr>
              <w:t>229.0</w:t>
            </w:r>
          </w:p>
        </w:tc>
        <w:tc>
          <w:tcPr>
            <w:tcW w:w="340" w:type="dxa"/>
            <w:vAlign w:val="bottom"/>
          </w:tcPr>
          <w:p>
            <w:pPr>
              <w:spacing w:after="0"/>
              <w:rPr>
                <w:sz w:val="24"/>
                <w:szCs w:val="24"/>
                <w:color w:val="auto"/>
              </w:rPr>
            </w:pPr>
          </w:p>
        </w:tc>
        <w:tc>
          <w:tcPr>
            <w:tcW w:w="480" w:type="dxa"/>
            <w:vAlign w:val="bottom"/>
          </w:tcPr>
          <w:p>
            <w:pPr>
              <w:jc w:val="right"/>
              <w:ind w:right="415"/>
              <w:spacing w:after="0"/>
              <w:rPr>
                <w:sz w:val="20"/>
                <w:szCs w:val="20"/>
                <w:color w:val="auto"/>
              </w:rPr>
            </w:pPr>
            <w:r>
              <w:rPr>
                <w:rFonts w:ascii="Arial" w:cs="Arial" w:eastAsia="Arial" w:hAnsi="Arial"/>
                <w:sz w:val="5"/>
                <w:szCs w:val="5"/>
                <w:color w:val="auto"/>
                <w:w w:val="70"/>
              </w:rPr>
              <w:t>$</w:t>
            </w:r>
          </w:p>
        </w:tc>
        <w:tc>
          <w:tcPr>
            <w:tcW w:w="1620" w:type="dxa"/>
            <w:vAlign w:val="bottom"/>
          </w:tcPr>
          <w:p>
            <w:pPr>
              <w:jc w:val="right"/>
              <w:spacing w:after="0"/>
              <w:rPr>
                <w:sz w:val="20"/>
                <w:szCs w:val="20"/>
                <w:color w:val="auto"/>
              </w:rPr>
            </w:pPr>
            <w:r>
              <w:rPr>
                <w:rFonts w:ascii="Arial" w:cs="Arial" w:eastAsia="Arial" w:hAnsi="Arial"/>
                <w:sz w:val="10"/>
                <w:szCs w:val="10"/>
                <w:color w:val="auto"/>
              </w:rPr>
              <w:t>220.8</w:t>
            </w:r>
          </w:p>
        </w:tc>
        <w:tc>
          <w:tcPr>
            <w:tcW w:w="20" w:type="dxa"/>
            <w:vAlign w:val="bottom"/>
          </w:tcPr>
          <w:p>
            <w:pPr>
              <w:spacing w:after="0"/>
              <w:rPr>
                <w:sz w:val="24"/>
                <w:szCs w:val="24"/>
                <w:color w:val="auto"/>
              </w:rPr>
            </w:pPr>
          </w:p>
        </w:tc>
      </w:tr>
      <w:tr>
        <w:trPr>
          <w:trHeight w:val="113"/>
        </w:trPr>
        <w:tc>
          <w:tcPr>
            <w:tcW w:w="480" w:type="dxa"/>
            <w:vAlign w:val="bottom"/>
          </w:tcPr>
          <w:p>
            <w:pPr>
              <w:spacing w:after="0"/>
              <w:rPr>
                <w:sz w:val="9"/>
                <w:szCs w:val="9"/>
                <w:color w:val="auto"/>
              </w:rPr>
            </w:pPr>
          </w:p>
        </w:tc>
        <w:tc>
          <w:tcPr>
            <w:tcW w:w="1600" w:type="dxa"/>
            <w:vAlign w:val="bottom"/>
          </w:tcPr>
          <w:p>
            <w:pPr>
              <w:jc w:val="right"/>
              <w:spacing w:after="0" w:line="113" w:lineRule="exact"/>
              <w:rPr>
                <w:sz w:val="20"/>
                <w:szCs w:val="20"/>
                <w:color w:val="auto"/>
              </w:rPr>
            </w:pPr>
            <w:r>
              <w:rPr>
                <w:rFonts w:ascii="Arial" w:cs="Arial" w:eastAsia="Arial" w:hAnsi="Arial"/>
                <w:sz w:val="10"/>
                <w:szCs w:val="10"/>
                <w:color w:val="auto"/>
              </w:rPr>
              <w:t>152.1</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20" w:type="dxa"/>
            <w:vAlign w:val="bottom"/>
          </w:tcPr>
          <w:p>
            <w:pPr>
              <w:jc w:val="right"/>
              <w:spacing w:after="0" w:line="113" w:lineRule="exact"/>
              <w:rPr>
                <w:sz w:val="20"/>
                <w:szCs w:val="20"/>
                <w:color w:val="auto"/>
              </w:rPr>
            </w:pPr>
            <w:r>
              <w:rPr>
                <w:rFonts w:ascii="Arial" w:cs="Arial" w:eastAsia="Arial" w:hAnsi="Arial"/>
                <w:sz w:val="10"/>
                <w:szCs w:val="10"/>
                <w:color w:val="auto"/>
              </w:rPr>
              <w:t>138.4</w:t>
            </w:r>
          </w:p>
        </w:tc>
        <w:tc>
          <w:tcPr>
            <w:tcW w:w="20" w:type="dxa"/>
            <w:vAlign w:val="bottom"/>
          </w:tcPr>
          <w:p>
            <w:pPr>
              <w:spacing w:after="0"/>
              <w:rPr>
                <w:sz w:val="9"/>
                <w:szCs w:val="9"/>
                <w:color w:val="auto"/>
              </w:rPr>
            </w:pPr>
          </w:p>
        </w:tc>
      </w:tr>
      <w:tr>
        <w:trPr>
          <w:trHeight w:val="113"/>
        </w:trPr>
        <w:tc>
          <w:tcPr>
            <w:tcW w:w="480" w:type="dxa"/>
            <w:vAlign w:val="bottom"/>
          </w:tcPr>
          <w:p>
            <w:pPr>
              <w:spacing w:after="0"/>
              <w:rPr>
                <w:sz w:val="9"/>
                <w:szCs w:val="9"/>
                <w:color w:val="auto"/>
              </w:rPr>
            </w:pPr>
          </w:p>
        </w:tc>
        <w:tc>
          <w:tcPr>
            <w:tcW w:w="1600" w:type="dxa"/>
            <w:vAlign w:val="bottom"/>
          </w:tcPr>
          <w:p>
            <w:pPr>
              <w:jc w:val="right"/>
              <w:spacing w:after="0" w:line="113" w:lineRule="exact"/>
              <w:rPr>
                <w:sz w:val="20"/>
                <w:szCs w:val="20"/>
                <w:color w:val="auto"/>
              </w:rPr>
            </w:pPr>
            <w:r>
              <w:rPr>
                <w:rFonts w:ascii="Arial" w:cs="Arial" w:eastAsia="Arial" w:hAnsi="Arial"/>
                <w:sz w:val="10"/>
                <w:szCs w:val="10"/>
                <w:color w:val="auto"/>
              </w:rPr>
              <w:t>2.1</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4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(17.8)</w:t>
            </w:r>
          </w:p>
        </w:tc>
      </w:tr>
      <w:tr>
        <w:trPr>
          <w:trHeight w:val="113"/>
        </w:trPr>
        <w:tc>
          <w:tcPr>
            <w:tcW w:w="480" w:type="dxa"/>
            <w:vAlign w:val="bottom"/>
          </w:tcPr>
          <w:p>
            <w:pPr>
              <w:spacing w:after="0"/>
              <w:rPr>
                <w:sz w:val="9"/>
                <w:szCs w:val="9"/>
                <w:color w:val="auto"/>
              </w:rPr>
            </w:pPr>
          </w:p>
        </w:tc>
        <w:tc>
          <w:tcPr>
            <w:tcW w:w="1940" w:type="dxa"/>
            <w:vAlign w:val="bottom"/>
            <w:gridSpan w:val="2"/>
          </w:tcPr>
          <w:p>
            <w:pPr>
              <w:jc w:val="right"/>
              <w:ind w:right="300"/>
              <w:spacing w:after="0" w:line="113" w:lineRule="exact"/>
              <w:rPr>
                <w:sz w:val="20"/>
                <w:szCs w:val="20"/>
                <w:color w:val="auto"/>
              </w:rPr>
            </w:pPr>
            <w:r>
              <w:rPr>
                <w:rFonts w:ascii="Arial" w:cs="Arial" w:eastAsia="Arial" w:hAnsi="Arial"/>
                <w:sz w:val="10"/>
                <w:szCs w:val="10"/>
                <w:color w:val="auto"/>
              </w:rPr>
              <w:t>(237.4)</w:t>
            </w:r>
          </w:p>
        </w:tc>
        <w:tc>
          <w:tcPr>
            <w:tcW w:w="480" w:type="dxa"/>
            <w:vAlign w:val="bottom"/>
          </w:tcPr>
          <w:p>
            <w:pPr>
              <w:spacing w:after="0"/>
              <w:rPr>
                <w:sz w:val="9"/>
                <w:szCs w:val="9"/>
                <w:color w:val="auto"/>
              </w:rPr>
            </w:pPr>
          </w:p>
        </w:tc>
        <w:tc>
          <w:tcPr>
            <w:tcW w:w="164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(198.1)</w:t>
            </w:r>
          </w:p>
        </w:tc>
      </w:tr>
      <w:tr>
        <w:trPr>
          <w:trHeight w:val="113"/>
        </w:trPr>
        <w:tc>
          <w:tcPr>
            <w:tcW w:w="480" w:type="dxa"/>
            <w:vAlign w:val="bottom"/>
          </w:tcPr>
          <w:p>
            <w:pPr>
              <w:spacing w:after="0"/>
              <w:rPr>
                <w:sz w:val="9"/>
                <w:szCs w:val="9"/>
                <w:color w:val="auto"/>
              </w:rPr>
            </w:pPr>
          </w:p>
        </w:tc>
        <w:tc>
          <w:tcPr>
            <w:tcW w:w="1940" w:type="dxa"/>
            <w:vAlign w:val="bottom"/>
            <w:gridSpan w:val="2"/>
          </w:tcPr>
          <w:p>
            <w:pPr>
              <w:jc w:val="right"/>
              <w:ind w:right="300"/>
              <w:spacing w:after="0" w:line="113" w:lineRule="exact"/>
              <w:rPr>
                <w:sz w:val="20"/>
                <w:szCs w:val="20"/>
                <w:color w:val="auto"/>
              </w:rPr>
            </w:pPr>
            <w:r>
              <w:rPr>
                <w:rFonts w:ascii="Arial" w:cs="Arial" w:eastAsia="Arial" w:hAnsi="Arial"/>
                <w:sz w:val="10"/>
                <w:szCs w:val="10"/>
                <w:color w:val="auto"/>
              </w:rPr>
              <w:t>(77.7)</w:t>
            </w:r>
          </w:p>
        </w:tc>
        <w:tc>
          <w:tcPr>
            <w:tcW w:w="480" w:type="dxa"/>
            <w:vAlign w:val="bottom"/>
          </w:tcPr>
          <w:p>
            <w:pPr>
              <w:spacing w:after="0"/>
              <w:rPr>
                <w:sz w:val="9"/>
                <w:szCs w:val="9"/>
                <w:color w:val="auto"/>
              </w:rPr>
            </w:pPr>
          </w:p>
        </w:tc>
        <w:tc>
          <w:tcPr>
            <w:tcW w:w="164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(52.6)</w:t>
            </w:r>
          </w:p>
        </w:tc>
      </w:tr>
      <w:tr>
        <w:trPr>
          <w:trHeight w:val="113"/>
        </w:trPr>
        <w:tc>
          <w:tcPr>
            <w:tcW w:w="480" w:type="dxa"/>
            <w:vAlign w:val="bottom"/>
          </w:tcPr>
          <w:p>
            <w:pPr>
              <w:spacing w:after="0"/>
              <w:rPr>
                <w:sz w:val="9"/>
                <w:szCs w:val="9"/>
                <w:color w:val="auto"/>
              </w:rPr>
            </w:pPr>
          </w:p>
        </w:tc>
        <w:tc>
          <w:tcPr>
            <w:tcW w:w="1940" w:type="dxa"/>
            <w:vAlign w:val="bottom"/>
            <w:gridSpan w:val="2"/>
          </w:tcPr>
          <w:p>
            <w:pPr>
              <w:jc w:val="right"/>
              <w:ind w:right="300"/>
              <w:spacing w:after="0" w:line="113" w:lineRule="exact"/>
              <w:rPr>
                <w:sz w:val="20"/>
                <w:szCs w:val="20"/>
                <w:color w:val="auto"/>
              </w:rPr>
            </w:pPr>
            <w:r>
              <w:rPr>
                <w:rFonts w:ascii="Arial" w:cs="Arial" w:eastAsia="Arial" w:hAnsi="Arial"/>
                <w:sz w:val="10"/>
                <w:szCs w:val="10"/>
                <w:color w:val="auto"/>
              </w:rPr>
              <w:t>(75.4)</w:t>
            </w:r>
          </w:p>
        </w:tc>
        <w:tc>
          <w:tcPr>
            <w:tcW w:w="480" w:type="dxa"/>
            <w:vAlign w:val="bottom"/>
          </w:tcPr>
          <w:p>
            <w:pPr>
              <w:spacing w:after="0"/>
              <w:rPr>
                <w:sz w:val="9"/>
                <w:szCs w:val="9"/>
                <w:color w:val="auto"/>
              </w:rPr>
            </w:pPr>
          </w:p>
        </w:tc>
        <w:tc>
          <w:tcPr>
            <w:tcW w:w="1620" w:type="dxa"/>
            <w:vAlign w:val="bottom"/>
          </w:tcPr>
          <w:p>
            <w:pPr>
              <w:jc w:val="right"/>
              <w:spacing w:after="0" w:line="113" w:lineRule="exact"/>
              <w:rPr>
                <w:sz w:val="20"/>
                <w:szCs w:val="20"/>
                <w:color w:val="auto"/>
              </w:rPr>
            </w:pPr>
            <w:r>
              <w:rPr>
                <w:rFonts w:ascii="Arial" w:cs="Arial" w:eastAsia="Arial" w:hAnsi="Arial"/>
                <w:sz w:val="10"/>
                <w:szCs w:val="10"/>
                <w:color w:val="auto"/>
              </w:rPr>
              <w:t>20.2</w:t>
            </w:r>
          </w:p>
        </w:tc>
        <w:tc>
          <w:tcPr>
            <w:tcW w:w="20" w:type="dxa"/>
            <w:vAlign w:val="bottom"/>
          </w:tcPr>
          <w:p>
            <w:pPr>
              <w:spacing w:after="0"/>
              <w:rPr>
                <w:sz w:val="9"/>
                <w:szCs w:val="9"/>
                <w:color w:val="auto"/>
              </w:rPr>
            </w:pPr>
          </w:p>
        </w:tc>
      </w:tr>
      <w:tr>
        <w:trPr>
          <w:trHeight w:val="113"/>
        </w:trPr>
        <w:tc>
          <w:tcPr>
            <w:tcW w:w="480" w:type="dxa"/>
            <w:vAlign w:val="bottom"/>
          </w:tcPr>
          <w:p>
            <w:pPr>
              <w:spacing w:after="0"/>
              <w:rPr>
                <w:sz w:val="9"/>
                <w:szCs w:val="9"/>
                <w:color w:val="auto"/>
              </w:rPr>
            </w:pPr>
          </w:p>
        </w:tc>
        <w:tc>
          <w:tcPr>
            <w:tcW w:w="1940" w:type="dxa"/>
            <w:vAlign w:val="bottom"/>
            <w:gridSpan w:val="2"/>
          </w:tcPr>
          <w:p>
            <w:pPr>
              <w:jc w:val="right"/>
              <w:ind w:right="300"/>
              <w:spacing w:after="0" w:line="113" w:lineRule="exact"/>
              <w:rPr>
                <w:sz w:val="20"/>
                <w:szCs w:val="20"/>
                <w:color w:val="auto"/>
              </w:rPr>
            </w:pPr>
            <w:r>
              <w:rPr>
                <w:rFonts w:ascii="Arial" w:cs="Arial" w:eastAsia="Arial" w:hAnsi="Arial"/>
                <w:sz w:val="10"/>
                <w:szCs w:val="10"/>
                <w:color w:val="auto"/>
              </w:rPr>
              <w:t>(9.7)</w:t>
            </w:r>
          </w:p>
        </w:tc>
        <w:tc>
          <w:tcPr>
            <w:tcW w:w="480" w:type="dxa"/>
            <w:vAlign w:val="bottom"/>
          </w:tcPr>
          <w:p>
            <w:pPr>
              <w:spacing w:after="0"/>
              <w:rPr>
                <w:sz w:val="9"/>
                <w:szCs w:val="9"/>
                <w:color w:val="auto"/>
              </w:rPr>
            </w:pPr>
          </w:p>
        </w:tc>
        <w:tc>
          <w:tcPr>
            <w:tcW w:w="164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(56.1)</w:t>
            </w:r>
          </w:p>
        </w:tc>
      </w:tr>
      <w:tr>
        <w:trPr>
          <w:trHeight w:val="116"/>
        </w:trPr>
        <w:tc>
          <w:tcPr>
            <w:tcW w:w="480" w:type="dxa"/>
            <w:vAlign w:val="bottom"/>
          </w:tcPr>
          <w:p>
            <w:pPr>
              <w:spacing w:after="0"/>
              <w:rPr>
                <w:sz w:val="10"/>
                <w:szCs w:val="10"/>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0"/>
                <w:szCs w:val="10"/>
                <w:color w:val="auto"/>
              </w:rPr>
              <w:t>(2.0)</w:t>
            </w:r>
          </w:p>
        </w:tc>
        <w:tc>
          <w:tcPr>
            <w:tcW w:w="480" w:type="dxa"/>
            <w:vAlign w:val="bottom"/>
          </w:tcPr>
          <w:p>
            <w:pPr>
              <w:spacing w:after="0"/>
              <w:rPr>
                <w:sz w:val="10"/>
                <w:szCs w:val="10"/>
                <w:color w:val="auto"/>
              </w:rPr>
            </w:pPr>
          </w:p>
        </w:tc>
        <w:tc>
          <w:tcPr>
            <w:tcW w:w="1620" w:type="dxa"/>
            <w:vAlign w:val="bottom"/>
          </w:tcPr>
          <w:p>
            <w:pPr>
              <w:jc w:val="right"/>
              <w:spacing w:after="0"/>
              <w:rPr>
                <w:sz w:val="20"/>
                <w:szCs w:val="20"/>
                <w:color w:val="auto"/>
              </w:rPr>
            </w:pPr>
            <w:r>
              <w:rPr>
                <w:rFonts w:ascii="Arial" w:cs="Arial" w:eastAsia="Arial" w:hAnsi="Arial"/>
                <w:sz w:val="10"/>
                <w:szCs w:val="10"/>
                <w:color w:val="auto"/>
              </w:rPr>
              <w:t>1.2</w:t>
            </w:r>
          </w:p>
        </w:tc>
        <w:tc>
          <w:tcPr>
            <w:tcW w:w="20" w:type="dxa"/>
            <w:vAlign w:val="bottom"/>
          </w:tcPr>
          <w:p>
            <w:pPr>
              <w:spacing w:after="0"/>
              <w:rPr>
                <w:sz w:val="10"/>
                <w:szCs w:val="10"/>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80" w:type="dxa"/>
            <w:vAlign w:val="bottom"/>
          </w:tcPr>
          <w:p>
            <w:pPr>
              <w:jc w:val="right"/>
              <w:ind w:right="415"/>
              <w:spacing w:after="0"/>
              <w:rPr>
                <w:sz w:val="20"/>
                <w:szCs w:val="20"/>
                <w:color w:val="auto"/>
              </w:rPr>
            </w:pPr>
            <w:r>
              <w:rPr>
                <w:rFonts w:ascii="Arial" w:cs="Arial" w:eastAsia="Arial" w:hAnsi="Arial"/>
                <w:sz w:val="5"/>
                <w:szCs w:val="5"/>
                <w:color w:val="auto"/>
                <w:w w:val="70"/>
              </w:rPr>
              <w:t>$</w:t>
            </w:r>
          </w:p>
        </w:tc>
        <w:tc>
          <w:tcPr>
            <w:tcW w:w="1940" w:type="dxa"/>
            <w:vAlign w:val="bottom"/>
            <w:gridSpan w:val="2"/>
          </w:tcPr>
          <w:p>
            <w:pPr>
              <w:jc w:val="right"/>
              <w:ind w:right="300"/>
              <w:spacing w:after="0" w:line="103" w:lineRule="exact"/>
              <w:rPr>
                <w:sz w:val="20"/>
                <w:szCs w:val="20"/>
                <w:color w:val="auto"/>
              </w:rPr>
            </w:pPr>
            <w:r>
              <w:rPr>
                <w:rFonts w:ascii="Arial" w:cs="Arial" w:eastAsia="Arial" w:hAnsi="Arial"/>
                <w:sz w:val="10"/>
                <w:szCs w:val="10"/>
                <w:color w:val="auto"/>
              </w:rPr>
              <w:t>(19.0)</w:t>
            </w:r>
          </w:p>
        </w:tc>
        <w:tc>
          <w:tcPr>
            <w:tcW w:w="480" w:type="dxa"/>
            <w:vAlign w:val="bottom"/>
          </w:tcPr>
          <w:p>
            <w:pPr>
              <w:jc w:val="right"/>
              <w:ind w:right="415"/>
              <w:spacing w:after="0"/>
              <w:rPr>
                <w:sz w:val="20"/>
                <w:szCs w:val="20"/>
                <w:color w:val="auto"/>
              </w:rPr>
            </w:pPr>
            <w:r>
              <w:rPr>
                <w:rFonts w:ascii="Arial" w:cs="Arial" w:eastAsia="Arial" w:hAnsi="Arial"/>
                <w:sz w:val="5"/>
                <w:szCs w:val="5"/>
                <w:color w:val="auto"/>
                <w:w w:val="70"/>
              </w:rPr>
              <w:t>$</w:t>
            </w:r>
          </w:p>
        </w:tc>
        <w:tc>
          <w:tcPr>
            <w:tcW w:w="1620" w:type="dxa"/>
            <w:vAlign w:val="bottom"/>
          </w:tcPr>
          <w:p>
            <w:pPr>
              <w:jc w:val="right"/>
              <w:spacing w:after="0" w:line="103" w:lineRule="exact"/>
              <w:rPr>
                <w:sz w:val="20"/>
                <w:szCs w:val="20"/>
                <w:color w:val="auto"/>
              </w:rPr>
            </w:pPr>
            <w:r>
              <w:rPr>
                <w:rFonts w:ascii="Arial" w:cs="Arial" w:eastAsia="Arial" w:hAnsi="Arial"/>
                <w:sz w:val="10"/>
                <w:szCs w:val="10"/>
                <w:color w:val="auto"/>
              </w:rPr>
              <w:t>56.0</w:t>
            </w:r>
          </w:p>
        </w:tc>
        <w:tc>
          <w:tcPr>
            <w:tcW w:w="20" w:type="dxa"/>
            <w:vAlign w:val="bottom"/>
          </w:tcPr>
          <w:p>
            <w:pPr>
              <w:spacing w:after="0"/>
              <w:rPr>
                <w:sz w:val="8"/>
                <w:szCs w:val="8"/>
                <w:color w:val="auto"/>
              </w:rPr>
            </w:pPr>
          </w:p>
        </w:tc>
      </w:tr>
      <w:tr>
        <w:trPr>
          <w:trHeight w:val="28"/>
        </w:trPr>
        <w:tc>
          <w:tcPr>
            <w:tcW w:w="4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-668655</wp:posOffset>
            </wp:positionV>
            <wp:extent cx="7287895" cy="71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895" cy="717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-525145</wp:posOffset>
            </wp:positionV>
            <wp:extent cx="7287895" cy="71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895" cy="717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-381635</wp:posOffset>
            </wp:positionV>
            <wp:extent cx="7287895" cy="71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7895" cy="717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-238125</wp:posOffset>
            </wp:positionV>
            <wp:extent cx="7287895" cy="717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7895" cy="717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-95250</wp:posOffset>
            </wp:positionV>
            <wp:extent cx="7287895" cy="83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895" cy="838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25" w:space="720"/>
            <w:col w:w="4640"/>
          </w:cols>
          <w:pgMar w:left="215" w:top="285" w:right="199" w:bottom="1440" w:gutter="0" w:footer="0" w:header="0"/>
          <w:type w:val="continuous"/>
        </w:sectPr>
      </w:pPr>
    </w:p>
    <w:p>
      <w:pPr>
        <w:spacing w:after="0" w:line="92" w:lineRule="exact"/>
        <w:rPr>
          <w:sz w:val="20"/>
          <w:szCs w:val="20"/>
          <w:color w:val="auto"/>
        </w:rPr>
      </w:pPr>
    </w:p>
    <w:p>
      <w:pPr>
        <w:jc w:val="center"/>
        <w:ind w:right="-4"/>
        <w:spacing w:after="0"/>
        <w:rPr>
          <w:sz w:val="20"/>
          <w:szCs w:val="20"/>
          <w:color w:val="auto"/>
        </w:rPr>
      </w:pPr>
      <w:r>
        <w:rPr>
          <w:rFonts w:ascii="Arial" w:cs="Arial" w:eastAsia="Arial" w:hAnsi="Arial"/>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32536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285" w:right="1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56" w:lineRule="exact"/>
        <w:rPr>
          <w:sz w:val="20"/>
          <w:szCs w:val="20"/>
          <w:color w:val="auto"/>
        </w:rPr>
      </w:pPr>
    </w:p>
    <w:p>
      <w:pPr>
        <w:jc w:val="both"/>
        <w:ind w:right="20"/>
        <w:spacing w:after="0" w:line="344" w:lineRule="auto"/>
        <w:rPr>
          <w:sz w:val="20"/>
          <w:szCs w:val="20"/>
          <w:color w:val="auto"/>
        </w:rPr>
      </w:pPr>
      <w:r>
        <w:rPr>
          <w:rFonts w:ascii="Arial" w:cs="Arial" w:eastAsia="Arial" w:hAnsi="Arial"/>
          <w:sz w:val="11"/>
          <w:szCs w:val="11"/>
          <w:color w:val="auto"/>
        </w:rPr>
        <w:t>The following discussion and analysis of our financial condition and results of operations should be read in conjunction with Management’s Discussion and Analysis of Financial Condition and Results of Operations contained in our Annual Report on Form 10-K for the year ended December 31, 2018 (“Annual Report”), as well as the unaudited consolidated financial statements and notes hereto included in this Quarterly Report on Form 10-Q.</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w:t>
      </w:r>
    </w:p>
    <w:p>
      <w:pPr>
        <w:spacing w:after="0" w:line="152" w:lineRule="exact"/>
        <w:rPr>
          <w:sz w:val="20"/>
          <w:szCs w:val="20"/>
          <w:color w:val="auto"/>
        </w:rPr>
      </w:pPr>
    </w:p>
    <w:p>
      <w:pPr>
        <w:jc w:val="both"/>
        <w:ind w:right="20"/>
        <w:spacing w:after="0" w:line="315" w:lineRule="auto"/>
        <w:rPr>
          <w:sz w:val="20"/>
          <w:szCs w:val="20"/>
          <w:color w:val="auto"/>
        </w:rPr>
      </w:pPr>
      <w:r>
        <w:rPr>
          <w:rFonts w:ascii="Arial" w:cs="Arial" w:eastAsia="Arial" w:hAnsi="Arial"/>
          <w:sz w:val="11"/>
          <w:szCs w:val="11"/>
          <w:color w:val="auto"/>
        </w:rPr>
        <w:t>Targa Resources Partners LP (“we,” “our,” the “Partnership” or “TRP”) is a Delaware limited partnership formed in October 2006 by Targa Resources Corp. (“TRC” or “Targa”). Our common units were listed on the NYSE under the symbol “NGLS” prior to TRC’s acquisition on February 17, 2016 of all our outstanding common units that it and its subsidiaries did not already own. Our 9.00% Series A Fixed-to-Floating Rate Cumulative Redeemable Perpetual Preferred Units (the “Preferred Units”) remain outstanding as preferred limited partner interests in us and continue to trade on the NYSE under the symbol “NGLS PRA.”</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Targa Resources GP LLC, our general partner, is a Delaware limited liability company formed by Targa in October 2006 to own a 2% general partner interest in us. Its primary business purpose is to manage our affairs and operations. Targa Resources GP LLC is an indirect wholly owned subsidiary of Targa.</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We are engaged primarily in the business of:</w:t>
      </w:r>
    </w:p>
    <w:p>
      <w:pPr>
        <w:spacing w:after="0" w:line="76" w:lineRule="exact"/>
        <w:rPr>
          <w:sz w:val="20"/>
          <w:szCs w:val="20"/>
          <w:color w:val="auto"/>
        </w:rPr>
      </w:pPr>
    </w:p>
    <w:p>
      <w:pPr>
        <w:ind w:left="1040" w:hanging="527"/>
        <w:spacing w:after="0"/>
        <w:tabs>
          <w:tab w:leader="none" w:pos="10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gathering, compressing, treating, processing, transporting and selling natural gas;</w:t>
      </w:r>
    </w:p>
    <w:p>
      <w:pPr>
        <w:spacing w:after="0" w:line="76" w:lineRule="exact"/>
        <w:rPr>
          <w:rFonts w:ascii="Arial" w:cs="Arial" w:eastAsia="Arial" w:hAnsi="Arial"/>
          <w:sz w:val="13"/>
          <w:szCs w:val="13"/>
          <w:color w:val="auto"/>
        </w:rPr>
      </w:pPr>
    </w:p>
    <w:p>
      <w:pPr>
        <w:ind w:left="1040" w:hanging="527"/>
        <w:spacing w:after="0"/>
        <w:tabs>
          <w:tab w:leader="none" w:pos="10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transporting, storing, fractionating, treating and selling NGLs and NGL products, including services to LPG exporters; and</w:t>
      </w:r>
    </w:p>
    <w:p>
      <w:pPr>
        <w:spacing w:after="0" w:line="76" w:lineRule="exact"/>
        <w:rPr>
          <w:rFonts w:ascii="Arial" w:cs="Arial" w:eastAsia="Arial" w:hAnsi="Arial"/>
          <w:sz w:val="13"/>
          <w:szCs w:val="13"/>
          <w:color w:val="auto"/>
        </w:rPr>
      </w:pPr>
    </w:p>
    <w:p>
      <w:pPr>
        <w:ind w:left="1040" w:hanging="527"/>
        <w:spacing w:after="0"/>
        <w:tabs>
          <w:tab w:leader="none" w:pos="10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gathering, storing, terminaling and selling crude oil.</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To provide these services, we operate in two primary segments: (i) Gathering and Processing, and (ii) Logistics and Marketing (also referred to as the Downstream Business).</w:t>
      </w:r>
    </w:p>
    <w:p>
      <w:pPr>
        <w:spacing w:after="0" w:line="152" w:lineRule="exact"/>
        <w:rPr>
          <w:sz w:val="20"/>
          <w:szCs w:val="20"/>
          <w:color w:val="auto"/>
        </w:rPr>
      </w:pPr>
    </w:p>
    <w:p>
      <w:pPr>
        <w:jc w:val="both"/>
        <w:spacing w:after="0" w:line="305" w:lineRule="auto"/>
        <w:rPr>
          <w:sz w:val="20"/>
          <w:szCs w:val="20"/>
          <w:color w:val="auto"/>
        </w:rPr>
      </w:pPr>
      <w:r>
        <w:rPr>
          <w:rFonts w:ascii="Arial" w:cs="Arial" w:eastAsia="Arial" w:hAnsi="Arial"/>
          <w:sz w:val="11"/>
          <w:szCs w:val="11"/>
          <w:color w:val="auto"/>
        </w:rPr>
        <w:t>Our Gathering and Processing segment includes assets used in the gathering of natural gas produced from oil and gas wells and processing this raw natural gas into merchantable natural gas by extracting NGLs and removing impurities; and assets used for crude oil gathering and terminaling. The Gathering and Processing segment's assets are located in the Permian Basin of West Texas and Southeast New Mexico (including the Midland and Delaware Basins); the Eagle Ford Shale in South Texas; the Barnett Shale in North Texas; the Anadarko, Ardmore, and Arkoma Basins in Oklahoma (including the SCOOP and STACK) and South Central Kansas; the Williston Basin in North Dakota and in the onshore and near offshore regions of the Louisiana Gulf Coast and the Gulf of Mexico.</w:t>
      </w:r>
    </w:p>
    <w:p>
      <w:pPr>
        <w:spacing w:after="0" w:line="110" w:lineRule="exact"/>
        <w:rPr>
          <w:sz w:val="20"/>
          <w:szCs w:val="20"/>
          <w:color w:val="auto"/>
        </w:rPr>
      </w:pPr>
    </w:p>
    <w:p>
      <w:pPr>
        <w:jc w:val="both"/>
        <w:spacing w:after="0" w:line="297" w:lineRule="auto"/>
        <w:rPr>
          <w:sz w:val="20"/>
          <w:szCs w:val="20"/>
          <w:color w:val="auto"/>
        </w:rPr>
      </w:pPr>
      <w:r>
        <w:rPr>
          <w:rFonts w:ascii="Arial" w:cs="Arial" w:eastAsia="Arial" w:hAnsi="Arial"/>
          <w:sz w:val="11"/>
          <w:szCs w:val="11"/>
          <w:color w:val="auto"/>
        </w:rPr>
        <w:t>Our Logistics and Marketing segment includes the activities and assets necessary to convert mixed NGLs into NGL products and also includes other assets and value-added services such as storing, fractionating, terminaling, transporting and marketing of NGLs and NGL products, including services to LPG exporters; storing and terminaling of refined petroleum products and crude oil and certain natural gas supply and marketing activities in support of our other businesses. The Logistics and Marketing segment also includes the Grand Prix pipeline (“Grand Prix”), as well as our equity interest in Gulf Coast Express Pipeline LLC (“GCX”), which are both currently under construction and expected to fully begin operations in 2019. Grand Prix, once fully completed, will integrate our gathering and processing positions in the Permian Basin, Southern Oklahoma and North Texas with our downstream facilities in Mont Belvieu, Texas. The associated assets, including these pipeline projects, are generally connected to and supplied in part by our Gathering and Processing segment and, except for the pipeline projects and smaller terminals, are located predominantly in Mont Belvieu and Galena Park, Texas, and in Lake Charles, Louisiana.</w:t>
      </w:r>
    </w:p>
    <w:p>
      <w:pPr>
        <w:spacing w:after="0" w:line="115"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Other contains the results of commodity derivative activities related to Gathering and Processing hedges of equity volumes that are included in operating margin and mark-to-market gains/losses related to derivative contracts that were not designated as cash flow hedges.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i w:val="1"/>
          <w:iCs w:val="1"/>
          <w:color w:val="auto"/>
        </w:rPr>
        <w:t>Recent Developments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Gathering and Processing Segment Expansion</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3"/>
          <w:szCs w:val="13"/>
          <w:i w:val="1"/>
          <w:iCs w:val="1"/>
          <w:color w:val="auto"/>
        </w:rPr>
        <w:t>Permian Midland Processing Expansions</w:t>
      </w:r>
    </w:p>
    <w:p>
      <w:pPr>
        <w:spacing w:after="0" w:line="86" w:lineRule="exact"/>
        <w:rPr>
          <w:sz w:val="20"/>
          <w:szCs w:val="20"/>
          <w:color w:val="auto"/>
        </w:rPr>
      </w:pPr>
    </w:p>
    <w:p>
      <w:pPr>
        <w:jc w:val="both"/>
        <w:ind w:left="760"/>
        <w:spacing w:after="0" w:line="248" w:lineRule="auto"/>
        <w:rPr>
          <w:sz w:val="20"/>
          <w:szCs w:val="20"/>
          <w:color w:val="auto"/>
        </w:rPr>
      </w:pPr>
      <w:r>
        <w:rPr>
          <w:rFonts w:ascii="Arial" w:cs="Arial" w:eastAsia="Arial" w:hAnsi="Arial"/>
          <w:sz w:val="13"/>
          <w:szCs w:val="13"/>
          <w:color w:val="auto"/>
        </w:rPr>
        <w:t>In February 2018, in response to increasing production and to meet the infrastructure needs of producers, we announced plans to construct two new cryogenic natural gas processing plants, each with a processing capacity of 250 MMcf/d. The first plant, known as the Hopson Plant, began operations at the end of April 2019. The second plant, known as the Pembrook Plant, is expected to begin operations early in the third quarter of 2019.</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3"/>
          <w:szCs w:val="13"/>
          <w:i w:val="1"/>
          <w:iCs w:val="1"/>
          <w:color w:val="auto"/>
        </w:rPr>
        <w:t>Permian Delaware Processing Expansions</w:t>
      </w:r>
    </w:p>
    <w:p>
      <w:pPr>
        <w:spacing w:after="0" w:line="76" w:lineRule="exact"/>
        <w:rPr>
          <w:sz w:val="20"/>
          <w:szCs w:val="20"/>
          <w:color w:val="auto"/>
        </w:rPr>
      </w:pPr>
    </w:p>
    <w:p>
      <w:pPr>
        <w:jc w:val="both"/>
        <w:ind w:left="760"/>
        <w:spacing w:after="0" w:line="300" w:lineRule="auto"/>
        <w:rPr>
          <w:sz w:val="20"/>
          <w:szCs w:val="20"/>
          <w:color w:val="auto"/>
        </w:rPr>
      </w:pPr>
      <w:r>
        <w:rPr>
          <w:rFonts w:ascii="Arial" w:cs="Arial" w:eastAsia="Arial" w:hAnsi="Arial"/>
          <w:sz w:val="11"/>
          <w:szCs w:val="11"/>
          <w:color w:val="auto"/>
        </w:rPr>
        <w:t>In March 2018, we announced that we entered into long-term fee-based agreements with an investment grade energy company for natural gas gathering and processing services in the Delaware Basin and for downstream transportation, fractionation and other related services. The agreements are underpinned by the customer's dedication of significant acreage within a large, well-defined area in the Delaware Basin. We are completing construction of approximately 220 miles of 12- to 24-inch high-pressure rich gas gathering pipelines across the Delaware Basin. We are also constructing a new 250 MMcf/d cryogenic natural gas processing plant (the “Falcon Plant”) in the Delaware Basin that is expected to begin operations in the fourth quarter of 2019. We have also commenced construction of a second 250 MMcf/d cryogenic natural gas processing plant (the “Peregrine Plant”) in the Delaware Basin that is expected to begin operations in the second quarter of 2020.</w:t>
      </w:r>
    </w:p>
    <w:p>
      <w:pPr>
        <w:spacing w:after="0" w:line="47" w:lineRule="exact"/>
        <w:rPr>
          <w:sz w:val="20"/>
          <w:szCs w:val="20"/>
          <w:color w:val="auto"/>
        </w:rPr>
      </w:pPr>
    </w:p>
    <w:p>
      <w:pPr>
        <w:jc w:val="both"/>
        <w:ind w:left="760" w:right="20"/>
        <w:spacing w:after="0" w:line="254" w:lineRule="auto"/>
        <w:rPr>
          <w:sz w:val="20"/>
          <w:szCs w:val="20"/>
          <w:color w:val="auto"/>
        </w:rPr>
      </w:pPr>
      <w:r>
        <w:rPr>
          <w:rFonts w:ascii="Arial" w:cs="Arial" w:eastAsia="Arial" w:hAnsi="Arial"/>
          <w:sz w:val="13"/>
          <w:szCs w:val="13"/>
          <w:color w:val="auto"/>
        </w:rPr>
        <w:t>We will provide NGL transportation services on Grand Prix and fractionation services at our Mont Belvieu complex for a majority of the NGLs from the Falcon and Peregrine Plants. Total growth capital expenditures related to the plants and high-pressure pipeline system are expected to be approximately $500 million.</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3"/>
          <w:szCs w:val="13"/>
          <w:i w:val="1"/>
          <w:iCs w:val="1"/>
          <w:color w:val="auto"/>
        </w:rPr>
        <w:t>Badlands</w:t>
      </w:r>
    </w:p>
    <w:p>
      <w:pPr>
        <w:spacing w:after="0" w:line="86" w:lineRule="exact"/>
        <w:rPr>
          <w:sz w:val="20"/>
          <w:szCs w:val="20"/>
          <w:color w:val="auto"/>
        </w:rPr>
      </w:pPr>
    </w:p>
    <w:p>
      <w:pPr>
        <w:jc w:val="both"/>
        <w:ind w:left="760" w:right="20"/>
        <w:spacing w:after="0" w:line="254" w:lineRule="auto"/>
        <w:rPr>
          <w:sz w:val="20"/>
          <w:szCs w:val="20"/>
          <w:color w:val="auto"/>
        </w:rPr>
      </w:pPr>
      <w:r>
        <w:rPr>
          <w:rFonts w:ascii="Arial" w:cs="Arial" w:eastAsia="Arial" w:hAnsi="Arial"/>
          <w:sz w:val="13"/>
          <w:szCs w:val="13"/>
          <w:color w:val="auto"/>
        </w:rPr>
        <w:t>In January 2018, we announced the formation of a 50/50 joint venture with Hess Midstream Partners LP under which Targa will construct and operate a new 200 MMcf/d natural gas processing plant (“Little Missouri 4”) at Targa’s existing Little Missouri facility. Little Missouri 4 is anticipated to be completed early in the third quarter of 2019.</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Downstream Segment Expansion</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3"/>
          <w:szCs w:val="13"/>
          <w:i w:val="1"/>
          <w:iCs w:val="1"/>
          <w:color w:val="auto"/>
        </w:rPr>
        <w:t>Grand Prix NGL Pipeline</w:t>
      </w:r>
    </w:p>
    <w:p>
      <w:pPr>
        <w:spacing w:after="0" w:line="86" w:lineRule="exact"/>
        <w:rPr>
          <w:sz w:val="20"/>
          <w:szCs w:val="20"/>
          <w:color w:val="auto"/>
        </w:rPr>
      </w:pPr>
    </w:p>
    <w:p>
      <w:pPr>
        <w:jc w:val="both"/>
        <w:ind w:left="760"/>
        <w:spacing w:after="0" w:line="248" w:lineRule="auto"/>
        <w:rPr>
          <w:sz w:val="20"/>
          <w:szCs w:val="20"/>
          <w:color w:val="auto"/>
        </w:rPr>
      </w:pPr>
      <w:r>
        <w:rPr>
          <w:rFonts w:ascii="Arial" w:cs="Arial" w:eastAsia="Arial" w:hAnsi="Arial"/>
          <w:sz w:val="13"/>
          <w:szCs w:val="13"/>
          <w:color w:val="auto"/>
        </w:rPr>
        <w:t>In May 2017, we announced initial plans to construct a new common carrier NGL pipeline in Texas and New Mexico, which is owned by Grand Prix Pipeline LLC (“Grand Prix Joint Venture”), a consolidated subsidiary of which Targa owns a 56% interest. Since then, we announced an extension to Southern Oklahoma in March 2018 and an extension to Central Oklahoma in February 2019. Each announced extension is 100% owned by Targa.</w:t>
      </w:r>
    </w:p>
    <w:p>
      <w:pPr>
        <w:spacing w:after="0" w:line="139" w:lineRule="exact"/>
        <w:rPr>
          <w:sz w:val="20"/>
          <w:szCs w:val="20"/>
          <w:color w:val="auto"/>
        </w:rPr>
      </w:pPr>
    </w:p>
    <w:p>
      <w:pPr>
        <w:jc w:val="both"/>
        <w:ind w:left="760" w:right="20"/>
        <w:spacing w:after="0" w:line="254" w:lineRule="auto"/>
        <w:rPr>
          <w:sz w:val="20"/>
          <w:szCs w:val="20"/>
          <w:color w:val="auto"/>
        </w:rPr>
      </w:pPr>
      <w:r>
        <w:rPr>
          <w:rFonts w:ascii="Arial" w:cs="Arial" w:eastAsia="Arial" w:hAnsi="Arial"/>
          <w:sz w:val="13"/>
          <w:szCs w:val="13"/>
          <w:color w:val="auto"/>
        </w:rPr>
        <w:t>Grand Prix will transport NGLs from the Permian Basin, North Texas, Southern Oklahoma, and Central Oklahoma to our fractionation and storage complex in the NGL market hub at Mont Belvieu, Texas. The pipeline is comprised of four primary segments:</w:t>
      </w:r>
    </w:p>
    <w:p>
      <w:pPr>
        <w:spacing w:after="0" w:line="135" w:lineRule="exact"/>
        <w:rPr>
          <w:sz w:val="20"/>
          <w:szCs w:val="20"/>
          <w:color w:val="auto"/>
        </w:rPr>
      </w:pPr>
    </w:p>
    <w:p>
      <w:pPr>
        <w:jc w:val="both"/>
        <w:ind w:left="1520" w:right="20" w:hanging="377"/>
        <w:spacing w:after="0" w:line="248" w:lineRule="auto"/>
        <w:tabs>
          <w:tab w:leader="none" w:pos="1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Permian Basin Segment – Connects our Gathering and Processing positions throughout the Delaware and Midland Basins to North Texas. The capacity of the 24-inch diameter pipeline segment from the Permian Basin is approximately 300 MBbl/d, expandable to 550 MBbl/d. The Permian Basin Segment is owned by the Grand Prix Joint Venture. This segment began receiving NGLs in the first quarter of 2019 and is now transporting NGLs to North Texas and delivering to third party pipelines.</w:t>
      </w:r>
    </w:p>
    <w:p>
      <w:pPr>
        <w:spacing w:after="0" w:line="138" w:lineRule="exact"/>
        <w:rPr>
          <w:rFonts w:ascii="Arial" w:cs="Arial" w:eastAsia="Arial" w:hAnsi="Arial"/>
          <w:sz w:val="13"/>
          <w:szCs w:val="13"/>
          <w:color w:val="auto"/>
        </w:rPr>
      </w:pPr>
    </w:p>
    <w:p>
      <w:pPr>
        <w:ind w:left="1520" w:hanging="377"/>
        <w:spacing w:after="0" w:line="254" w:lineRule="auto"/>
        <w:tabs>
          <w:tab w:leader="none" w:pos="1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Southern Oklahoma Extension – Connects our SouthOK and North Texas Gathering and Processing positions to the North Texas to Mont Belvieu Segment. The extension is owned solely by Targa and will vary in capacity based on telescoping pipe size.</w:t>
      </w:r>
    </w:p>
    <w:p>
      <w:pPr>
        <w:spacing w:after="0" w:line="135" w:lineRule="exact"/>
        <w:rPr>
          <w:rFonts w:ascii="Arial" w:cs="Arial" w:eastAsia="Arial" w:hAnsi="Arial"/>
          <w:sz w:val="13"/>
          <w:szCs w:val="13"/>
          <w:color w:val="auto"/>
        </w:rPr>
      </w:pPr>
    </w:p>
    <w:p>
      <w:pPr>
        <w:jc w:val="both"/>
        <w:ind w:left="1520" w:right="20" w:hanging="377"/>
        <w:spacing w:after="0" w:line="248" w:lineRule="auto"/>
        <w:tabs>
          <w:tab w:leader="none" w:pos="15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North Texas to Mont Belvieu Segment – The Permian Basin Segment and Southern Oklahoma Extension connect to a 30-inch diameter pipeline segment in North Texas, which will connect Permian, North Texas and Oklahoma volumes to Mont Belvieu. The North Texas to Mont Belvieu Segment will have a capacity of approximately 450 MBbl/d, expandable to 950 MBbl/d, and is owned by the Grand Prix Joint Venture.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The three segments noted above are expected to be fully in service in the third quarter of 2019.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29" w:name="page30"/>
    <w:bookmarkEnd w:id="29"/>
    <w:p>
      <w:pPr>
        <w:jc w:val="both"/>
        <w:ind w:left="760" w:hanging="377"/>
        <w:spacing w:after="0" w:line="300" w:lineRule="auto"/>
        <w:tabs>
          <w:tab w:leader="none" w:pos="7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Central Oklahoma Extension – Extends from Southern Oklahoma to the STACK region of Central Oklahoma where it will connect with The Williams Companies, Inc. (“Williams”) Bluestem Pipeline, linking the Conway, Kansas, and Mont Belvieu, Texas, NGL markets. In connection with this project, Williams has committed significant volumes to us that we will transport on Grand Prix and fractionate at our Mont Belvieu facilities. Williams also had an initial option to purchase a 20% equity interest in one of our recently announced fractionation trains (Train 7 or Train 8) in Mont Belvieu. Williams exercised its option to acquire a 20% equity interest in Train 7 and subsequently executed a joint venture agreement with us in the second quarter of 2019. See further discussion below. The Central Oklahoma Extension is owned solely by Targa and is expected to be completed in the first quarter of 2021.</w:t>
      </w:r>
    </w:p>
    <w:p>
      <w:pPr>
        <w:spacing w:after="0" w:line="113"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Grand Prix volumes flowing on the pipeline from the Permian Basin to Mont Belvieu are included in the Grand Prix Joint Venture, while the volumes flowing from North Texas and Oklahoma to Mont Belvieu accrue solely to Targa’s benefit. Total growth capital spending on Grand Prix, including the extensions into Oklahoma, is estimated to be approximately $1.9 billion, with our portion of growth capital spending estimated to be approximately $1.3 billion.</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Fractionation Expansion</w:t>
      </w:r>
    </w:p>
    <w:p>
      <w:pPr>
        <w:spacing w:after="0" w:line="86" w:lineRule="exact"/>
        <w:rPr>
          <w:sz w:val="20"/>
          <w:szCs w:val="20"/>
          <w:color w:val="auto"/>
        </w:rPr>
      </w:pPr>
    </w:p>
    <w:p>
      <w:pPr>
        <w:jc w:val="both"/>
        <w:spacing w:after="0" w:line="315" w:lineRule="auto"/>
        <w:rPr>
          <w:sz w:val="20"/>
          <w:szCs w:val="20"/>
          <w:color w:val="auto"/>
        </w:rPr>
      </w:pPr>
      <w:r>
        <w:rPr>
          <w:rFonts w:ascii="Arial" w:cs="Arial" w:eastAsia="Arial" w:hAnsi="Arial"/>
          <w:sz w:val="11"/>
          <w:szCs w:val="11"/>
          <w:color w:val="auto"/>
        </w:rPr>
        <w:t>In February 2018, we announced plans to construct a new 100 MBbl/d fractionation train in Mont Belvieu, Texas (“Train 6”), which began operations in early May 2019. The total cost of the fractionation train and related infrastructure is expected to be approximately $350 million. Targa Train 6 LLC, a joint venture between Targa and Stonepeak Infrastructure Partners (“Stonepeak”), owns 100% interest in certain assets associated with Train 6. Certain fractionation-related infrastructure for Train 6, such as storage caverns and brine handling, will be funded and owned 100% by Targa.</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November 2018, we announced plans to construct two new 110 MBbl/d fractionation trains in Mont Belvieu, Texas (“Train 7 and Train 8”), which are expected to begin operations in the first quarter of 2020 and third quarter of 2020, respectively. The total cost of these fractionation trains and related infrastructure is expected to be approximately $825 million. In connection with the Central Oklahoma Extension, Williams exercised its option to acquire a 20% equity interest in Train 7 and executed a joint venture agreement with us. Certain fractionation-related infrastructure for Train 7, including storage caverns and brine handling, will be funded and owned 100% by Targa.</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LPG Export Expansion</w:t>
      </w:r>
    </w:p>
    <w:p>
      <w:pPr>
        <w:spacing w:after="0" w:line="86" w:lineRule="exact"/>
        <w:rPr>
          <w:sz w:val="20"/>
          <w:szCs w:val="20"/>
          <w:color w:val="auto"/>
        </w:rPr>
      </w:pPr>
    </w:p>
    <w:p>
      <w:pPr>
        <w:jc w:val="both"/>
        <w:ind w:right="20"/>
        <w:spacing w:after="0" w:line="315" w:lineRule="auto"/>
        <w:rPr>
          <w:sz w:val="20"/>
          <w:szCs w:val="20"/>
          <w:color w:val="auto"/>
        </w:rPr>
      </w:pPr>
      <w:r>
        <w:rPr>
          <w:rFonts w:ascii="Arial" w:cs="Arial" w:eastAsia="Arial" w:hAnsi="Arial"/>
          <w:sz w:val="11"/>
          <w:szCs w:val="11"/>
          <w:color w:val="auto"/>
        </w:rPr>
        <w:t>In February 2019, we announced plans to further expand our LPG export capabilities of propane and butanes at our Galena Park Marine Terminal by increasing refrigeration capacity and associated load rates. Our current effective export capacity of 7 MMBbl per month will increase to approximately 11 to 15 MMBbl per month, depending upon the mix of propane and butane demand, vessel size and availability of supply, among other factors. The total cost of the expansion and related infrastructure is expected to be approximately $120 million and is expected to be completed in the third quarter of 2020.</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Gulf Coast Express Pipeline</w:t>
      </w:r>
    </w:p>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In December 2017, we entered into definitive joint venture agreements with Kinder Morgan Texas Pipeline LLC (“KMTP”) and DCP Midstream Partners, LP (“DCP”) with respect to the joint development of the Gulf Coast Express Pipeline (“GCX Pipeline”), a natural gas pipeline from the Waha hub, including direct connections to the tailgate of many of our Midland Basin processing facilities, to Agua Dulce in South Texas. The pipeline will provide an outlet for increased natural gas production from the Permian Basin to growing markets along the Texas Gulf Coast. Targa GCX Pipeline LLC, a joint venture between us and Stonepeak, and DCP each own a 25% interest, KMTP owns a 35% interest, and Altus Midstream Company owns the remaining 15% interest in GCX. KMTP serves as the construction manager and operator of GCX Pipeline. We have committed significant volumes to GCX Pipeline. In addition, Pioneer Natural Resources Company, a joint owner in our WestTX Permian Basin assets, has committed volumes to the project. GCX Pipeline is designed to transport up to 1.98 Bcf/d of natural gas and the total cost of the project is estimated to be approximately $1.75 billion. GCX Pipeline is expected to be in service in the fourth quarter of 2019.</w:t>
      </w:r>
    </w:p>
    <w:p>
      <w:pPr>
        <w:spacing w:after="0" w:line="295" w:lineRule="exact"/>
        <w:rPr>
          <w:sz w:val="20"/>
          <w:szCs w:val="20"/>
          <w:color w:val="auto"/>
        </w:rPr>
      </w:pPr>
    </w:p>
    <w:p>
      <w:pPr>
        <w:ind w:left="49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41275</wp:posOffset>
            </wp:positionV>
            <wp:extent cx="732536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0720"/>
          </w:cols>
          <w:pgMar w:left="980" w:top="432" w:right="199" w:bottom="1440" w:gutter="0" w:footer="0" w:header="0"/>
        </w:sectPr>
      </w:pPr>
    </w:p>
    <w:bookmarkStart w:id="30" w:name="page31"/>
    <w:bookmarkEnd w:id="30"/>
    <w:p>
      <w:pPr>
        <w:ind w:left="760"/>
        <w:spacing w:after="0"/>
        <w:rPr>
          <w:sz w:val="20"/>
          <w:szCs w:val="20"/>
          <w:color w:val="auto"/>
        </w:rPr>
      </w:pPr>
      <w:r>
        <w:rPr>
          <w:rFonts w:ascii="Arial" w:cs="Arial" w:eastAsia="Arial" w:hAnsi="Arial"/>
          <w:sz w:val="13"/>
          <w:szCs w:val="13"/>
          <w:i w:val="1"/>
          <w:iCs w:val="1"/>
          <w:color w:val="auto"/>
        </w:rPr>
        <w:t>Channelview Splitter</w:t>
      </w:r>
    </w:p>
    <w:p>
      <w:pPr>
        <w:spacing w:after="0" w:line="86" w:lineRule="exact"/>
        <w:rPr>
          <w:sz w:val="20"/>
          <w:szCs w:val="20"/>
          <w:color w:val="auto"/>
        </w:rPr>
      </w:pPr>
    </w:p>
    <w:p>
      <w:pPr>
        <w:jc w:val="both"/>
        <w:ind w:left="760" w:right="20"/>
        <w:spacing w:after="0" w:line="315" w:lineRule="auto"/>
        <w:rPr>
          <w:sz w:val="20"/>
          <w:szCs w:val="20"/>
          <w:color w:val="auto"/>
        </w:rPr>
      </w:pPr>
      <w:r>
        <w:rPr>
          <w:rFonts w:ascii="Arial" w:cs="Arial" w:eastAsia="Arial" w:hAnsi="Arial"/>
          <w:sz w:val="11"/>
          <w:szCs w:val="11"/>
          <w:color w:val="auto"/>
        </w:rPr>
        <w:t>The Channelview Splitter, located at our Channelview Terminal on the Houston Ship Channel, is currently operating but still being tested by engineering and operations and has an estimated total cost of approximately $160 million. The Channelview Splitter will have the capability to split approximately 35,000 Bbl/d of crude oil and condensate into its various components, including naphtha, distillate, gas oil, kerosene/jet fuel and liquefied petroleum gas and will provide segregated storage for the crude and condensate and each of their components. We are working on commercialization of the Channelview Splitter.</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Badlands Interest Sale</w:t>
      </w:r>
    </w:p>
    <w:p>
      <w:pPr>
        <w:spacing w:after="0" w:line="152" w:lineRule="exact"/>
        <w:rPr>
          <w:sz w:val="20"/>
          <w:szCs w:val="20"/>
          <w:color w:val="auto"/>
        </w:rPr>
      </w:pPr>
    </w:p>
    <w:p>
      <w:pPr>
        <w:jc w:val="both"/>
        <w:ind w:right="20"/>
        <w:spacing w:after="0" w:line="305" w:lineRule="auto"/>
        <w:rPr>
          <w:sz w:val="20"/>
          <w:szCs w:val="20"/>
          <w:color w:val="auto"/>
        </w:rPr>
      </w:pPr>
      <w:r>
        <w:rPr>
          <w:rFonts w:ascii="Arial" w:cs="Arial" w:eastAsia="Arial" w:hAnsi="Arial"/>
          <w:sz w:val="11"/>
          <w:szCs w:val="11"/>
          <w:color w:val="auto"/>
        </w:rPr>
        <w:t>In April 2019, we closed on the sale of a 45% interest in Targa Badlands LLC, the entity that holds substantially all of our assets in North Dakota, to funds managed by GSO Capital Partners and Blackstone Tactical Opportunities (collectively, “Blackstone”) for $1.6 billion in cash. We used the net cash proceeds to repay debt and for general corporate purposes, including funding our growth capital program. We continue to be the operator of Targa Badlands LLC and hold majority governance rights. Future growth capital of Targa Badlands LLC is expected to be funded on a pro rata ownership basis. Targa Badlands LLC will pay a minimum quarterly distribution (“MQD”) to Blackstone and Targa, with Blackstone having a priority right on such MQDs. Additionally, Blackstone’s capital contributions would have a liquidation preference upon a sale of Targa Badlands LLC.</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January 2019, we issued $750.0 million of 6½% Senior Notes due July 2027 and $750.0 million of 6⅞% Senior Notes due January 2029, resulting in total net proceeds of $1,487.3 million. The net proceeds from the offerings were used to redeem in full our 4⅛% Senior Notes due 2019, at par value plus accrued interest through the redemption date, with the remainder used for general partnership purposes, which included repaying borrowings under our credit facilities.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For a discussion of recent accounting pronouncements that will affect us, see “Recent Accounting Pronouncements” included within Note 3 – Significant Accounting Policies in our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How We Evaluate Our Operations</w:t>
      </w:r>
    </w:p>
    <w:p>
      <w:pPr>
        <w:spacing w:after="0" w:line="76"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The profitability of our business is a function of the difference between: (i) the revenues we receive from our operations, including fee-based revenues from services and revenues from the natural gas, NGLs, crude oil and condensate we sell, and (ii) the costs associated with conducting our operations, including the costs of wellhead natural gas, crude oil and mixed NGLs that we purchase as well as operating, general and administrative costs and the impact of our commodity hedging activities. Because commodity price movements tend to impact both revenues and costs, increases or decreases in our revenues alone are not necessarily indicative of increases or decreases in our profitability. Our contract portfolio, the prevailing pricing environment for crude oil, natural gas and NGLs, and the volumes of crude oil, natural gas and NGL throughput on our systems are important factors in determining our profitability. Our profitability is also affected by the NGL content in gathered wellhead natural gas, supply and demand for our products and services, utilization of our assets and changes in our customer mix.</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profitability is also impacted by fee-based contracts. Our growing fee-related capital expenditures for pipelines, expansion of our downstream facilities, as well as third-party acquisitions of businesses and assets, will continue to increase the number of our contracts that are fee-based. Fixed fees for services such as fractionation, storage, terminaling and crude oil gathering are not directly tied to changes in market prices for commodities. Nevertheless, a change in unit fees due to market dynamics such as available commodity throughput does affect profitability.</w:t>
      </w:r>
    </w:p>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Management uses a variety of financial measures and operational measurements to analyze our performance. These include: (1) throughput volumes, facility efficiencies and fuel consumption, (2) operating expenses, (3) capital</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expenditures and (4) the following non-GAAP measures: gross margin, operating margin, and Adjusted EBITDA.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385" w:right="199" w:bottom="1440" w:gutter="0" w:footer="0" w:header="0"/>
        </w:sectPr>
      </w:pPr>
    </w:p>
    <w:bookmarkStart w:id="31" w:name="page32"/>
    <w:bookmarkEnd w:id="31"/>
    <w:p>
      <w:pPr>
        <w:spacing w:after="0"/>
        <w:rPr>
          <w:sz w:val="20"/>
          <w:szCs w:val="20"/>
          <w:color w:val="auto"/>
        </w:rPr>
      </w:pPr>
      <w:r>
        <w:rPr>
          <w:rFonts w:ascii="Arial" w:cs="Arial" w:eastAsia="Arial" w:hAnsi="Arial"/>
          <w:sz w:val="13"/>
          <w:szCs w:val="13"/>
          <w:i w:val="1"/>
          <w:iCs w:val="1"/>
          <w:color w:val="auto"/>
        </w:rPr>
        <w:t>Throughput Volumes, Facility Efficiencies and Fuel Consumption</w:t>
      </w:r>
    </w:p>
    <w:p>
      <w:pPr>
        <w:spacing w:after="0" w:line="76" w:lineRule="exact"/>
        <w:rPr>
          <w:sz w:val="20"/>
          <w:szCs w:val="20"/>
          <w:color w:val="auto"/>
        </w:rPr>
      </w:pPr>
    </w:p>
    <w:p>
      <w:pPr>
        <w:jc w:val="both"/>
        <w:spacing w:after="0" w:line="305" w:lineRule="auto"/>
        <w:rPr>
          <w:sz w:val="20"/>
          <w:szCs w:val="20"/>
          <w:color w:val="auto"/>
        </w:rPr>
      </w:pPr>
      <w:r>
        <w:rPr>
          <w:rFonts w:ascii="Arial" w:cs="Arial" w:eastAsia="Arial" w:hAnsi="Arial"/>
          <w:sz w:val="11"/>
          <w:szCs w:val="11"/>
          <w:color w:val="auto"/>
        </w:rPr>
        <w:t>Our profitability is impacted by our ability to add new sources of natural gas supply and crude oil supply to offset the natural decline of existing volumes from oil and natural gas wells that are connected to our gathering and processing systems. This is achieved by connecting new wells and adding new volumes in existing areas of production, as well as by capturing crude oil and natural gas supplies currently gathered by third parties. Similarly, our profitability is impacted by our ability to add new sources of mixed NGL supply, connected by third-party transportation and Grand Prix, to our Downstream Business fractionation facilities and at times to our export facilities. We fractionate NGLs generated by our gathering and processing plants, as well as by contracting for mixed NGL supply from third-party facilities.</w:t>
      </w:r>
    </w:p>
    <w:p>
      <w:pPr>
        <w:spacing w:after="0" w:line="110" w:lineRule="exact"/>
        <w:rPr>
          <w:sz w:val="20"/>
          <w:szCs w:val="20"/>
          <w:color w:val="auto"/>
        </w:rPr>
      </w:pPr>
    </w:p>
    <w:p>
      <w:pPr>
        <w:jc w:val="both"/>
        <w:spacing w:after="0" w:line="305" w:lineRule="auto"/>
        <w:rPr>
          <w:sz w:val="20"/>
          <w:szCs w:val="20"/>
          <w:color w:val="auto"/>
        </w:rPr>
      </w:pPr>
      <w:r>
        <w:rPr>
          <w:rFonts w:ascii="Arial" w:cs="Arial" w:eastAsia="Arial" w:hAnsi="Arial"/>
          <w:sz w:val="11"/>
          <w:szCs w:val="11"/>
          <w:color w:val="auto"/>
        </w:rPr>
        <w:t>In addition, we seek to increase operating margin by limiting volume losses, reducing fuel consumption and by increasing efficiency. With our gathering systems’ extensive use of remote monitoring capabilities, we monitor the volumes received at the wellhead or central delivery points along our gathering systems, the volume of natural gas received at our processing plant inlets and the volumes of NGLs and residue natural gas recovered by our processing plants. We also monitor the volumes of NGLs received, stored, fractionated and delivered across our logistics assets. This information is tracked through our processing plants and Downstream Business facilities to determine customer settlements for sales and volume related fees for service and helps us increase efficiency and reduce fuel consumption.</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As part of monitoring the efficiency of our operations, we measure the difference between the volume of natural gas received at the wellhead or central delivery points on our gathering systems and the volume received at the inlet of our processing plants as an indicator of fuel consumption and line loss. We also track the difference between the volume of natural gas received at the inlet of the processing plant and the NGLs and residue gas produced at the outlet of such plant to monitor the fuel consumption and recoveries of our facilities. Similar tracking is performed for our crude oil gathering and logistics assets. These volume, recovery and fuel consumption measurements are an important part of our operational efficiency analysis and safety programs.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Expenses</w:t>
      </w:r>
    </w:p>
    <w:p>
      <w:pPr>
        <w:spacing w:after="0" w:line="76"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Operating expenses are costs associated with the operation of specific assets. Labor, contract services, repair and maintenance, utilities and ad valorem taxes comprise the most significant portion of our operating expenses. These expenses, other than fuel and power, remain relatively stable and independent of the volumes through our systems, but may increase with system expansions and will fluctuate depending on the scope of the activities performed during a specific period.</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Capital Expenditures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Capital projects associated with growth and maintenance projects are closely monitored. Return on investment is analyzed before a capital project is approved, spending is closely monitored throughout the development of the project, and the subsequent operational performance is compared to the assumptions used in the economic analysis performed for the capital investment approval.</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Gross Margin</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We define gross margin as revenues less product purchases. It is impacted by volumes and commodity prices as well as by our contract mix and commodity hedging program.</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Gathering and Processing segment gross margin consists primarily of:</w:t>
      </w:r>
    </w:p>
    <w:p>
      <w:pPr>
        <w:spacing w:after="0" w:line="76" w:lineRule="exact"/>
        <w:rPr>
          <w:sz w:val="20"/>
          <w:szCs w:val="20"/>
          <w:color w:val="auto"/>
        </w:rPr>
      </w:pPr>
    </w:p>
    <w:p>
      <w:pPr>
        <w:ind w:left="1040" w:hanging="527"/>
        <w:spacing w:after="0"/>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revenues from the sale of natural gas, condensate, crude oil and NGLs less producer payments and other natural gas and crude oil purchases; and</w:t>
      </w:r>
    </w:p>
    <w:p>
      <w:pPr>
        <w:spacing w:after="0" w:line="76" w:lineRule="exact"/>
        <w:rPr>
          <w:rFonts w:ascii="Arial" w:cs="Arial" w:eastAsia="Arial" w:hAnsi="Arial"/>
          <w:sz w:val="13"/>
          <w:szCs w:val="13"/>
          <w:color w:val="auto"/>
        </w:rPr>
      </w:pPr>
    </w:p>
    <w:p>
      <w:pPr>
        <w:ind w:left="1040" w:hanging="527"/>
        <w:spacing w:after="0"/>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service fees related to natural gas and crude oil gathering, treating and processing.</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Logistics and Marketing segment gross margin consists primarily of:</w:t>
      </w:r>
    </w:p>
    <w:p>
      <w:pPr>
        <w:spacing w:after="0" w:line="76" w:lineRule="exact"/>
        <w:rPr>
          <w:sz w:val="20"/>
          <w:szCs w:val="20"/>
          <w:color w:val="auto"/>
        </w:rPr>
      </w:pPr>
    </w:p>
    <w:p>
      <w:pPr>
        <w:ind w:left="1040" w:hanging="527"/>
        <w:spacing w:after="0"/>
        <w:tabs>
          <w:tab w:leader="none" w:pos="10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service fees (including the pass-through of energy costs included in fee rates);</w:t>
      </w:r>
    </w:p>
    <w:p>
      <w:pPr>
        <w:spacing w:after="0" w:line="76" w:lineRule="exact"/>
        <w:rPr>
          <w:rFonts w:ascii="Arial" w:cs="Arial" w:eastAsia="Arial" w:hAnsi="Arial"/>
          <w:sz w:val="13"/>
          <w:szCs w:val="13"/>
          <w:color w:val="auto"/>
        </w:rPr>
      </w:pPr>
    </w:p>
    <w:p>
      <w:pPr>
        <w:ind w:left="1040" w:hanging="527"/>
        <w:spacing w:after="0"/>
        <w:tabs>
          <w:tab w:leader="none" w:pos="10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system product gains and losses; and</w:t>
      </w:r>
    </w:p>
    <w:p>
      <w:pPr>
        <w:spacing w:after="0" w:line="76" w:lineRule="exact"/>
        <w:rPr>
          <w:rFonts w:ascii="Arial" w:cs="Arial" w:eastAsia="Arial" w:hAnsi="Arial"/>
          <w:sz w:val="13"/>
          <w:szCs w:val="13"/>
          <w:color w:val="auto"/>
        </w:rPr>
      </w:pPr>
    </w:p>
    <w:p>
      <w:pPr>
        <w:ind w:left="1040" w:hanging="527"/>
        <w:spacing w:after="0"/>
        <w:tabs>
          <w:tab w:leader="none" w:pos="10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NGL and natural gas sales, less NGL and natural gas purchases, transportation costs and the net inventory change.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gross margin impacts of our equity volumes hedge settlements are reported in Other.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432" w:right="199" w:bottom="1440" w:gutter="0" w:footer="0" w:header="0"/>
        </w:sectPr>
      </w:pPr>
    </w:p>
    <w:bookmarkStart w:id="32" w:name="page33"/>
    <w:bookmarkEnd w:id="32"/>
    <w:p>
      <w:pPr>
        <w:spacing w:after="0"/>
        <w:rPr>
          <w:sz w:val="20"/>
          <w:szCs w:val="20"/>
          <w:color w:val="auto"/>
        </w:rPr>
      </w:pPr>
      <w:r>
        <w:rPr>
          <w:rFonts w:ascii="Arial" w:cs="Arial" w:eastAsia="Arial" w:hAnsi="Arial"/>
          <w:sz w:val="13"/>
          <w:szCs w:val="13"/>
          <w:i w:val="1"/>
          <w:iCs w:val="1"/>
          <w:color w:val="auto"/>
        </w:rPr>
        <w:t>Operating Margin</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We define operating margin as gross margin less operating expenses. Operating margin is an important performance measure of the core profitability of our operations.</w:t>
      </w:r>
    </w:p>
    <w:p>
      <w:pPr>
        <w:spacing w:after="0" w:line="152"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Management reviews business segment gross margin and operating margin monthly as a core internal management process. We believe that investors benefit from having access to the same financial measures that management uses in evaluating our operating results. Gross margin and operating margin provide useful information to investors because they are used as supplemental financial measures by management and by external users of our financial statements, including investors and commercial banks, to assess:</w:t>
      </w:r>
    </w:p>
    <w:p>
      <w:pPr>
        <w:spacing w:after="0" w:line="63" w:lineRule="exact"/>
        <w:rPr>
          <w:sz w:val="20"/>
          <w:szCs w:val="20"/>
          <w:color w:val="auto"/>
        </w:rPr>
      </w:pPr>
    </w:p>
    <w:p>
      <w:pPr>
        <w:ind w:left="1040" w:hanging="527"/>
        <w:spacing w:after="0"/>
        <w:tabs>
          <w:tab w:leader="none" w:pos="10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financial performance of our assets without regard to financing methods, capital structure or historical cost basis;</w:t>
      </w:r>
    </w:p>
    <w:p>
      <w:pPr>
        <w:spacing w:after="0" w:line="76" w:lineRule="exact"/>
        <w:rPr>
          <w:rFonts w:ascii="Arial" w:cs="Arial" w:eastAsia="Arial" w:hAnsi="Arial"/>
          <w:sz w:val="13"/>
          <w:szCs w:val="13"/>
          <w:color w:val="auto"/>
        </w:rPr>
      </w:pPr>
    </w:p>
    <w:p>
      <w:pPr>
        <w:ind w:left="1040" w:hanging="527"/>
        <w:spacing w:after="0"/>
        <w:tabs>
          <w:tab w:leader="none" w:pos="10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operating performance and return on capital as compared to other companies in the midstream energy sector, without regard to financing or capital structure; and</w:t>
      </w:r>
    </w:p>
    <w:p>
      <w:pPr>
        <w:spacing w:after="0" w:line="76" w:lineRule="exact"/>
        <w:rPr>
          <w:rFonts w:ascii="Arial" w:cs="Arial" w:eastAsia="Arial" w:hAnsi="Arial"/>
          <w:sz w:val="13"/>
          <w:szCs w:val="13"/>
          <w:color w:val="auto"/>
        </w:rPr>
      </w:pPr>
    </w:p>
    <w:p>
      <w:pPr>
        <w:ind w:left="1040" w:hanging="527"/>
        <w:spacing w:after="0"/>
        <w:tabs>
          <w:tab w:leader="none" w:pos="10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viability of acquisitions and capital expenditure projects and the overall rates of return on alternative investment opportunities.</w:t>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Gross margin and operating margin are non-GAAP measures. The GAAP measure most directly comparable to gross margin and operating margin is net income (loss) attributable to TRP. Gross margin and operating margin are not alternatives to GAAP net income and have important limitations as analytical tools. Investors should not consider gross margin and operating margin in isolation or as a substitute for analysis of our results as reported under GAAP. Because gross margin and operating margin exclude some, but not all, items that affect net income and are defined differently by different companies in our industry, our definitions of gross margin and operating margin may not be comparable with similarly titled measures of other companies, thereby diminishing their utility. Management compensates for the limitations of gross margin and operating margin as analytical tools by reviewing the comparable GAAP measures, understanding the differences between the measures and incorporating these insights into its decision-making processes.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Adjusted EBITDA</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We define Adjusted EBITDA as net income (loss) attributable to TRP before interest, income taxes, depreciation and amortization, and other items that we believe should be adjusted consistent with our core operating performance. The adjusting items are detailed in the Adjusted EBITDA reconciliation table and its footnotes. Adjusted EBITDA is used as a supplemental financial measure by us and by external users of our financial statements such as investors, commercial banks and others. The economic substance behind our use of Adjusted EBITDA is to measure the ability of our assets to generate cash sufficient to pay interest costs, support our indebtedness and make distributions to holders of our equity interests.</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Adjusted EBITDA is a non-GAAP financial measure. The GAAP measure most directly comparable to Adjusted EBITDA is net income (loss) attributable to TRP. Adjusted EBITDA should not be considered as an alternative to GAAP net income. Adjusted EBITDA has important limitations as an analytical tool. Investors should not consider Adjusted EBITDA in isolation or as a substitute for analysis of our results as reported under GAAP. Because Adjusted EBITDA excludes some, but not all, items that affect net income and is defined differently by different companies in our industry, our definition of Adjusted EBITDA may not be comparable to similarly titled measures of other companies, thereby diminishing its utility.</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Management compensates for the limitations of Adjusted EBITDA as an analytical tool by reviewing the comparable GAAP measures, understanding the differences between the measures and incorporating these insights into its decision-making processes.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432" w:right="199" w:bottom="1440" w:gutter="0" w:footer="0" w:header="0"/>
        </w:sectPr>
      </w:pPr>
    </w:p>
    <w:bookmarkStart w:id="33" w:name="page34"/>
    <w:bookmarkEnd w:id="33"/>
    <w:p>
      <w:pPr>
        <w:ind w:left="5"/>
        <w:spacing w:after="0"/>
        <w:rPr>
          <w:sz w:val="20"/>
          <w:szCs w:val="20"/>
          <w:color w:val="auto"/>
        </w:rPr>
      </w:pPr>
      <w:r>
        <w:rPr>
          <w:rFonts w:ascii="Arial" w:cs="Arial" w:eastAsia="Arial" w:hAnsi="Arial"/>
          <w:sz w:val="13"/>
          <w:szCs w:val="13"/>
          <w:b w:val="1"/>
          <w:bCs w:val="1"/>
          <w:i w:val="1"/>
          <w:iCs w:val="1"/>
          <w:color w:val="auto"/>
        </w:rPr>
        <w:t>Our Non-GAAP Financial Measures</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following tables reconcile the non-GAAP financial measures used by management to the most directly comparable GAAP measures for the periods indicated.</w:t>
      </w:r>
    </w:p>
    <w:p>
      <w:pPr>
        <w:spacing w:after="0" w:line="212"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738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0"/>
                <w:szCs w:val="10"/>
                <w:b w:val="1"/>
                <w:bCs w:val="1"/>
                <w:color w:val="auto"/>
              </w:rPr>
              <w:t>Three Months Ended March 31,</w:t>
            </w: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02"/>
        </w:trPr>
        <w:tc>
          <w:tcPr>
            <w:tcW w:w="7380" w:type="dxa"/>
            <w:vAlign w:val="bottom"/>
          </w:tcPr>
          <w:p>
            <w:pPr>
              <w:spacing w:after="0"/>
              <w:rPr>
                <w:sz w:val="8"/>
                <w:szCs w:val="8"/>
                <w:color w:val="auto"/>
              </w:rPr>
            </w:pPr>
          </w:p>
        </w:tc>
        <w:tc>
          <w:tcPr>
            <w:tcW w:w="1140" w:type="dxa"/>
            <w:vAlign w:val="bottom"/>
            <w:tcBorders>
              <w:bottom w:val="single" w:sz="8" w:color="auto"/>
            </w:tcBorders>
          </w:tcPr>
          <w:p>
            <w:pPr>
              <w:jc w:val="right"/>
              <w:ind w:right="110"/>
              <w:spacing w:after="0" w:line="103" w:lineRule="exact"/>
              <w:rPr>
                <w:sz w:val="20"/>
                <w:szCs w:val="20"/>
                <w:color w:val="auto"/>
              </w:rPr>
            </w:pPr>
            <w:r>
              <w:rPr>
                <w:rFonts w:ascii="Arial" w:cs="Arial" w:eastAsia="Arial" w:hAnsi="Arial"/>
                <w:sz w:val="10"/>
                <w:szCs w:val="10"/>
                <w:b w:val="1"/>
                <w:bCs w:val="1"/>
                <w:color w:val="auto"/>
              </w:rPr>
              <w:t>2019</w:t>
            </w:r>
          </w:p>
        </w:tc>
        <w:tc>
          <w:tcPr>
            <w:tcW w:w="6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jc w:val="right"/>
              <w:ind w:right="750"/>
              <w:spacing w:after="0" w:line="103"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r>
      <w:tr>
        <w:trPr>
          <w:trHeight w:val="119"/>
        </w:trPr>
        <w:tc>
          <w:tcPr>
            <w:tcW w:w="7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80" w:type="dxa"/>
            <w:vAlign w:val="bottom"/>
            <w:gridSpan w:val="3"/>
          </w:tcPr>
          <w:p>
            <w:pPr>
              <w:jc w:val="right"/>
              <w:ind w:right="555"/>
              <w:spacing w:after="0"/>
              <w:rPr>
                <w:sz w:val="20"/>
                <w:szCs w:val="20"/>
                <w:color w:val="auto"/>
              </w:rPr>
            </w:pPr>
            <w:r>
              <w:rPr>
                <w:rFonts w:ascii="Arial" w:cs="Arial" w:eastAsia="Arial" w:hAnsi="Arial"/>
                <w:sz w:val="10"/>
                <w:szCs w:val="10"/>
                <w:b w:val="1"/>
                <w:bCs w:val="1"/>
                <w:color w:val="auto"/>
              </w:rPr>
              <w:t>(In millions)</w:t>
            </w: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0"/>
        </w:trPr>
        <w:tc>
          <w:tcPr>
            <w:tcW w:w="7380" w:type="dxa"/>
            <w:vAlign w:val="bottom"/>
          </w:tcPr>
          <w:p>
            <w:pPr>
              <w:spacing w:after="0"/>
              <w:rPr>
                <w:sz w:val="20"/>
                <w:szCs w:val="20"/>
                <w:color w:val="auto"/>
              </w:rPr>
            </w:pPr>
            <w:r>
              <w:rPr>
                <w:rFonts w:ascii="Arial" w:cs="Arial" w:eastAsia="Arial" w:hAnsi="Arial"/>
                <w:sz w:val="10"/>
                <w:szCs w:val="10"/>
                <w:b w:val="1"/>
                <w:bCs w:val="1"/>
                <w:color w:val="auto"/>
              </w:rPr>
              <w:t>Reconciliation of Net Income (Loss) attributable to TRP to Operating Margin and Gross Margin</w:t>
            </w: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6"/>
        </w:trPr>
        <w:tc>
          <w:tcPr>
            <w:tcW w:w="7380" w:type="dxa"/>
            <w:vAlign w:val="bottom"/>
          </w:tcPr>
          <w:p>
            <w:pPr>
              <w:spacing w:after="0"/>
              <w:rPr>
                <w:sz w:val="20"/>
                <w:szCs w:val="20"/>
                <w:color w:val="auto"/>
              </w:rPr>
            </w:pPr>
            <w:r>
              <w:rPr>
                <w:rFonts w:ascii="Arial" w:cs="Arial" w:eastAsia="Arial" w:hAnsi="Arial"/>
                <w:sz w:val="10"/>
                <w:szCs w:val="10"/>
                <w:color w:val="auto"/>
              </w:rPr>
              <w:t>Net income (loss)</w:t>
            </w:r>
          </w:p>
        </w:tc>
        <w:tc>
          <w:tcPr>
            <w:tcW w:w="1140" w:type="dxa"/>
            <w:vAlign w:val="bottom"/>
          </w:tcPr>
          <w:p>
            <w:pPr>
              <w:jc w:val="right"/>
              <w:ind w:right="10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0"/>
                <w:szCs w:val="10"/>
                <w:color w:val="auto"/>
              </w:rPr>
              <w:t>(19.0)</w:t>
            </w:r>
          </w:p>
        </w:tc>
        <w:tc>
          <w:tcPr>
            <w:tcW w:w="620" w:type="dxa"/>
            <w:vAlign w:val="bottom"/>
          </w:tcPr>
          <w:p>
            <w:pPr>
              <w:jc w:val="right"/>
              <w:ind w:right="555"/>
              <w:spacing w:after="0"/>
              <w:rPr>
                <w:sz w:val="20"/>
                <w:szCs w:val="20"/>
                <w:color w:val="auto"/>
              </w:rPr>
            </w:pPr>
            <w:r>
              <w:rPr>
                <w:rFonts w:ascii="Arial" w:cs="Arial" w:eastAsia="Arial" w:hAnsi="Arial"/>
                <w:sz w:val="5"/>
                <w:szCs w:val="5"/>
                <w:color w:val="auto"/>
                <w:w w:val="70"/>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56.0</w:t>
            </w:r>
          </w:p>
        </w:tc>
        <w:tc>
          <w:tcPr>
            <w:tcW w:w="120" w:type="dxa"/>
            <w:vAlign w:val="bottom"/>
          </w:tcPr>
          <w:p>
            <w:pPr>
              <w:spacing w:after="0"/>
              <w:rPr>
                <w:sz w:val="10"/>
                <w:szCs w:val="10"/>
                <w:color w:val="auto"/>
              </w:rPr>
            </w:pPr>
          </w:p>
        </w:tc>
      </w:tr>
      <w:tr>
        <w:trPr>
          <w:trHeight w:val="113"/>
        </w:trPr>
        <w:tc>
          <w:tcPr>
            <w:tcW w:w="73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Depreciation and amortization expense</w:t>
            </w:r>
          </w:p>
        </w:tc>
        <w:tc>
          <w:tcPr>
            <w:tcW w:w="114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237.4</w:t>
            </w: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198.1</w:t>
            </w:r>
          </w:p>
        </w:tc>
        <w:tc>
          <w:tcPr>
            <w:tcW w:w="120" w:type="dxa"/>
            <w:vAlign w:val="bottom"/>
            <w:shd w:val="clear" w:color="auto" w:fill="CFF0FC"/>
          </w:tcPr>
          <w:p>
            <w:pPr>
              <w:spacing w:after="0"/>
              <w:rPr>
                <w:sz w:val="9"/>
                <w:szCs w:val="9"/>
                <w:color w:val="auto"/>
              </w:rPr>
            </w:pPr>
          </w:p>
        </w:tc>
      </w:tr>
      <w:tr>
        <w:trPr>
          <w:trHeight w:val="113"/>
        </w:trPr>
        <w:tc>
          <w:tcPr>
            <w:tcW w:w="7380" w:type="dxa"/>
            <w:vAlign w:val="bottom"/>
          </w:tcPr>
          <w:p>
            <w:pPr>
              <w:ind w:left="160"/>
              <w:spacing w:after="0" w:line="113" w:lineRule="exact"/>
              <w:rPr>
                <w:sz w:val="20"/>
                <w:szCs w:val="20"/>
                <w:color w:val="auto"/>
              </w:rPr>
            </w:pPr>
            <w:r>
              <w:rPr>
                <w:rFonts w:ascii="Arial" w:cs="Arial" w:eastAsia="Arial" w:hAnsi="Arial"/>
                <w:sz w:val="10"/>
                <w:szCs w:val="10"/>
                <w:color w:val="auto"/>
              </w:rPr>
              <w:t>General and administrative expense</w:t>
            </w:r>
          </w:p>
        </w:tc>
        <w:tc>
          <w:tcPr>
            <w:tcW w:w="114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Arial" w:cs="Arial" w:eastAsia="Arial" w:hAnsi="Arial"/>
                <w:sz w:val="10"/>
                <w:szCs w:val="10"/>
                <w:color w:val="auto"/>
              </w:rPr>
              <w:t>77.7</w:t>
            </w: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60" w:type="dxa"/>
            <w:vAlign w:val="bottom"/>
          </w:tcPr>
          <w:p>
            <w:pPr>
              <w:jc w:val="right"/>
              <w:spacing w:after="0" w:line="113" w:lineRule="exact"/>
              <w:rPr>
                <w:sz w:val="20"/>
                <w:szCs w:val="20"/>
                <w:color w:val="auto"/>
              </w:rPr>
            </w:pPr>
            <w:r>
              <w:rPr>
                <w:rFonts w:ascii="Arial" w:cs="Arial" w:eastAsia="Arial" w:hAnsi="Arial"/>
                <w:sz w:val="10"/>
                <w:szCs w:val="10"/>
                <w:color w:val="auto"/>
              </w:rPr>
              <w:t>52.6</w:t>
            </w:r>
          </w:p>
        </w:tc>
        <w:tc>
          <w:tcPr>
            <w:tcW w:w="120" w:type="dxa"/>
            <w:vAlign w:val="bottom"/>
          </w:tcPr>
          <w:p>
            <w:pPr>
              <w:spacing w:after="0"/>
              <w:rPr>
                <w:sz w:val="9"/>
                <w:szCs w:val="9"/>
                <w:color w:val="auto"/>
              </w:rPr>
            </w:pPr>
          </w:p>
        </w:tc>
      </w:tr>
      <w:tr>
        <w:trPr>
          <w:trHeight w:val="113"/>
        </w:trPr>
        <w:tc>
          <w:tcPr>
            <w:tcW w:w="73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Interest (income) expense, net</w:t>
            </w:r>
          </w:p>
        </w:tc>
        <w:tc>
          <w:tcPr>
            <w:tcW w:w="114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75.4</w:t>
            </w: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8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(20.2)</w:t>
            </w:r>
          </w:p>
        </w:tc>
      </w:tr>
      <w:tr>
        <w:trPr>
          <w:trHeight w:val="113"/>
        </w:trPr>
        <w:tc>
          <w:tcPr>
            <w:tcW w:w="7380" w:type="dxa"/>
            <w:vAlign w:val="bottom"/>
          </w:tcPr>
          <w:p>
            <w:pPr>
              <w:ind w:left="160"/>
              <w:spacing w:after="0" w:line="113" w:lineRule="exact"/>
              <w:rPr>
                <w:sz w:val="20"/>
                <w:szCs w:val="20"/>
                <w:color w:val="auto"/>
              </w:rPr>
            </w:pPr>
            <w:r>
              <w:rPr>
                <w:rFonts w:ascii="Arial" w:cs="Arial" w:eastAsia="Arial" w:hAnsi="Arial"/>
                <w:sz w:val="10"/>
                <w:szCs w:val="10"/>
                <w:color w:val="auto"/>
              </w:rPr>
              <w:t>(Gain) loss on sale or disposition of assets</w:t>
            </w:r>
          </w:p>
        </w:tc>
        <w:tc>
          <w:tcPr>
            <w:tcW w:w="114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Arial" w:cs="Arial" w:eastAsia="Arial" w:hAnsi="Arial"/>
                <w:sz w:val="10"/>
                <w:szCs w:val="10"/>
                <w:color w:val="auto"/>
              </w:rPr>
              <w:t>3.2</w:t>
            </w: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(0.1)</w:t>
            </w:r>
          </w:p>
        </w:tc>
      </w:tr>
      <w:tr>
        <w:trPr>
          <w:trHeight w:val="113"/>
        </w:trPr>
        <w:tc>
          <w:tcPr>
            <w:tcW w:w="73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(Gain) loss from financing activities</w:t>
            </w:r>
          </w:p>
        </w:tc>
        <w:tc>
          <w:tcPr>
            <w:tcW w:w="114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1.4</w:t>
            </w: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8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w:t>
            </w:r>
          </w:p>
        </w:tc>
      </w:tr>
      <w:tr>
        <w:trPr>
          <w:trHeight w:val="113"/>
        </w:trPr>
        <w:tc>
          <w:tcPr>
            <w:tcW w:w="7380" w:type="dxa"/>
            <w:vAlign w:val="bottom"/>
          </w:tcPr>
          <w:p>
            <w:pPr>
              <w:ind w:left="160"/>
              <w:spacing w:after="0" w:line="113" w:lineRule="exact"/>
              <w:rPr>
                <w:sz w:val="20"/>
                <w:szCs w:val="20"/>
                <w:color w:val="auto"/>
              </w:rPr>
            </w:pPr>
            <w:r>
              <w:rPr>
                <w:rFonts w:ascii="Arial" w:cs="Arial" w:eastAsia="Arial" w:hAnsi="Arial"/>
                <w:sz w:val="10"/>
                <w:szCs w:val="10"/>
                <w:color w:val="auto"/>
              </w:rPr>
              <w:t>Change in contingent considerations</w:t>
            </w:r>
          </w:p>
        </w:tc>
        <w:tc>
          <w:tcPr>
            <w:tcW w:w="114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Arial" w:cs="Arial" w:eastAsia="Arial" w:hAnsi="Arial"/>
                <w:sz w:val="10"/>
                <w:szCs w:val="10"/>
                <w:color w:val="auto"/>
              </w:rPr>
              <w:t>9.7</w:t>
            </w: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60" w:type="dxa"/>
            <w:vAlign w:val="bottom"/>
          </w:tcPr>
          <w:p>
            <w:pPr>
              <w:jc w:val="right"/>
              <w:spacing w:after="0" w:line="113" w:lineRule="exact"/>
              <w:rPr>
                <w:sz w:val="20"/>
                <w:szCs w:val="20"/>
                <w:color w:val="auto"/>
              </w:rPr>
            </w:pPr>
            <w:r>
              <w:rPr>
                <w:rFonts w:ascii="Arial" w:cs="Arial" w:eastAsia="Arial" w:hAnsi="Arial"/>
                <w:sz w:val="10"/>
                <w:szCs w:val="10"/>
                <w:color w:val="auto"/>
              </w:rPr>
              <w:t>56.1</w:t>
            </w:r>
          </w:p>
        </w:tc>
        <w:tc>
          <w:tcPr>
            <w:tcW w:w="120" w:type="dxa"/>
            <w:vAlign w:val="bottom"/>
          </w:tcPr>
          <w:p>
            <w:pPr>
              <w:spacing w:after="0"/>
              <w:rPr>
                <w:sz w:val="9"/>
                <w:szCs w:val="9"/>
                <w:color w:val="auto"/>
              </w:rPr>
            </w:pPr>
          </w:p>
        </w:tc>
      </w:tr>
      <w:tr>
        <w:trPr>
          <w:trHeight w:val="113"/>
        </w:trPr>
        <w:tc>
          <w:tcPr>
            <w:tcW w:w="73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Other, net</w:t>
            </w:r>
          </w:p>
        </w:tc>
        <w:tc>
          <w:tcPr>
            <w:tcW w:w="114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400"/>
              <w:spacing w:after="0" w:line="113" w:lineRule="exact"/>
              <w:rPr>
                <w:sz w:val="20"/>
                <w:szCs w:val="20"/>
                <w:color w:val="auto"/>
              </w:rPr>
            </w:pPr>
            <w:r>
              <w:rPr>
                <w:rFonts w:ascii="Arial" w:cs="Arial" w:eastAsia="Arial" w:hAnsi="Arial"/>
                <w:sz w:val="10"/>
                <w:szCs w:val="10"/>
                <w:color w:val="auto"/>
              </w:rPr>
              <w:t>(2.6)</w:t>
            </w:r>
          </w:p>
        </w:tc>
        <w:tc>
          <w:tcPr>
            <w:tcW w:w="620" w:type="dxa"/>
            <w:vAlign w:val="bottom"/>
            <w:shd w:val="clear" w:color="auto" w:fill="CFF0FC"/>
          </w:tcPr>
          <w:p>
            <w:pPr>
              <w:spacing w:after="0"/>
              <w:rPr>
                <w:sz w:val="9"/>
                <w:szCs w:val="9"/>
                <w:color w:val="auto"/>
              </w:rPr>
            </w:pPr>
          </w:p>
        </w:tc>
        <w:tc>
          <w:tcPr>
            <w:tcW w:w="128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(1.1)</w:t>
            </w:r>
          </w:p>
        </w:tc>
      </w:tr>
      <w:tr>
        <w:trPr>
          <w:trHeight w:val="20"/>
        </w:trPr>
        <w:tc>
          <w:tcPr>
            <w:tcW w:w="7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1"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7380" w:type="dxa"/>
            <w:vAlign w:val="bottom"/>
          </w:tcPr>
          <w:p>
            <w:pPr>
              <w:spacing w:after="0"/>
              <w:rPr>
                <w:sz w:val="20"/>
                <w:szCs w:val="20"/>
                <w:color w:val="auto"/>
              </w:rPr>
            </w:pPr>
            <w:r>
              <w:rPr>
                <w:rFonts w:ascii="Arial" w:cs="Arial" w:eastAsia="Arial" w:hAnsi="Arial"/>
                <w:sz w:val="10"/>
                <w:szCs w:val="10"/>
                <w:b w:val="1"/>
                <w:bCs w:val="1"/>
                <w:color w:val="auto"/>
              </w:rPr>
              <w:t>Operating margin</w:t>
            </w: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383.2</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b w:val="1"/>
                <w:bCs w:val="1"/>
                <w:color w:val="auto"/>
              </w:rPr>
              <w:t>341.4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380" w:type="dxa"/>
            <w:vAlign w:val="bottom"/>
            <w:shd w:val="clear" w:color="auto" w:fill="CFF0FC"/>
          </w:tcPr>
          <w:p>
            <w:pPr>
              <w:ind w:left="160"/>
              <w:spacing w:after="0"/>
              <w:rPr>
                <w:sz w:val="20"/>
                <w:szCs w:val="20"/>
                <w:color w:val="auto"/>
              </w:rPr>
            </w:pPr>
            <w:r>
              <w:rPr>
                <w:rFonts w:ascii="Arial" w:cs="Arial" w:eastAsia="Arial" w:hAnsi="Arial"/>
                <w:sz w:val="10"/>
                <w:szCs w:val="10"/>
                <w:color w:val="auto"/>
              </w:rPr>
              <w:t>Operating expenses</w:t>
            </w:r>
          </w:p>
        </w:tc>
        <w:tc>
          <w:tcPr>
            <w:tcW w:w="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190.2</w:t>
            </w: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173.2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380" w:type="dxa"/>
            <w:vAlign w:val="bottom"/>
          </w:tcPr>
          <w:p>
            <w:pPr>
              <w:spacing w:after="0" w:line="103" w:lineRule="exact"/>
              <w:rPr>
                <w:sz w:val="20"/>
                <w:szCs w:val="20"/>
                <w:color w:val="auto"/>
              </w:rPr>
            </w:pPr>
            <w:r>
              <w:rPr>
                <w:rFonts w:ascii="Arial" w:cs="Arial" w:eastAsia="Arial" w:hAnsi="Arial"/>
                <w:sz w:val="10"/>
                <w:szCs w:val="10"/>
                <w:b w:val="1"/>
                <w:bCs w:val="1"/>
                <w:color w:val="auto"/>
              </w:rPr>
              <w:t>Gross margin</w:t>
            </w:r>
          </w:p>
        </w:tc>
        <w:tc>
          <w:tcPr>
            <w:tcW w:w="1140" w:type="dxa"/>
            <w:vAlign w:val="bottom"/>
            <w:tcBorders>
              <w:bottom w:val="single" w:sz="8" w:color="auto"/>
            </w:tcBorders>
            <w:gridSpan w:val="2"/>
          </w:tcPr>
          <w:p>
            <w:pPr>
              <w:jc w:val="right"/>
              <w:ind w:right="1042"/>
              <w:spacing w:after="0" w:line="103" w:lineRule="exact"/>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573.4</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auto"/>
            </w:tcBorders>
            <w:gridSpan w:val="2"/>
          </w:tcPr>
          <w:p>
            <w:pPr>
              <w:spacing w:after="0" w:line="103" w:lineRule="exact"/>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514.6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7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3"/>
              </w:rPr>
              <w:t>Three Months Ended March 31,</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jc w:val="right"/>
              <w:ind w:right="122"/>
              <w:spacing w:after="0" w:line="103" w:lineRule="exact"/>
              <w:rPr>
                <w:sz w:val="20"/>
                <w:szCs w:val="20"/>
                <w:color w:val="auto"/>
              </w:rPr>
            </w:pPr>
            <w:r>
              <w:rPr>
                <w:rFonts w:ascii="Arial" w:cs="Arial" w:eastAsia="Arial" w:hAnsi="Arial"/>
                <w:sz w:val="10"/>
                <w:szCs w:val="10"/>
                <w:b w:val="1"/>
                <w:bCs w:val="1"/>
                <w:color w:val="auto"/>
              </w:rPr>
              <w:t>2019</w:t>
            </w: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jc w:val="right"/>
              <w:ind w:right="750"/>
              <w:spacing w:after="0" w:line="103"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7380" w:type="dxa"/>
            <w:vAlign w:val="bottom"/>
            <w:vMerge w:val="restart"/>
          </w:tcPr>
          <w:p>
            <w:pPr>
              <w:spacing w:after="0"/>
              <w:rPr>
                <w:sz w:val="20"/>
                <w:szCs w:val="20"/>
                <w:color w:val="auto"/>
              </w:rPr>
            </w:pPr>
            <w:r>
              <w:rPr>
                <w:rFonts w:ascii="Arial" w:cs="Arial" w:eastAsia="Arial" w:hAnsi="Arial"/>
                <w:sz w:val="10"/>
                <w:szCs w:val="10"/>
                <w:b w:val="1"/>
                <w:bCs w:val="1"/>
                <w:color w:val="auto"/>
              </w:rPr>
              <w:t>Reconciliation of Net Income (Loss) attributable to TRP to Adjusted EBITDA</w:t>
            </w: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700" w:type="dxa"/>
            <w:vAlign w:val="bottom"/>
            <w:gridSpan w:val="5"/>
          </w:tcPr>
          <w:p>
            <w:pPr>
              <w:jc w:val="center"/>
              <w:spacing w:after="0"/>
              <w:rPr>
                <w:sz w:val="20"/>
                <w:szCs w:val="20"/>
                <w:color w:val="auto"/>
              </w:rPr>
            </w:pPr>
            <w:r>
              <w:rPr>
                <w:rFonts w:ascii="Arial" w:cs="Arial" w:eastAsia="Arial" w:hAnsi="Arial"/>
                <w:sz w:val="10"/>
                <w:szCs w:val="10"/>
                <w:b w:val="1"/>
                <w:bCs w:val="1"/>
                <w:color w:val="auto"/>
                <w:w w:val="96"/>
              </w:rPr>
              <w:t>(In millions)</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3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3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Net income (loss) attributable to TRP</w:t>
            </w:r>
          </w:p>
        </w:tc>
        <w:tc>
          <w:tcPr>
            <w:tcW w:w="1140" w:type="dxa"/>
            <w:vAlign w:val="bottom"/>
            <w:gridSpan w:val="2"/>
            <w:shd w:val="clear" w:color="auto" w:fill="CFF0FC"/>
          </w:tcPr>
          <w:p>
            <w:pPr>
              <w:jc w:val="right"/>
              <w:ind w:right="1042"/>
              <w:spacing w:after="0" w:line="113" w:lineRule="exact"/>
              <w:rPr>
                <w:sz w:val="20"/>
                <w:szCs w:val="20"/>
                <w:color w:val="auto"/>
              </w:rPr>
            </w:pPr>
            <w:r>
              <w:rPr>
                <w:rFonts w:ascii="Arial" w:cs="Arial" w:eastAsia="Arial" w:hAnsi="Arial"/>
                <w:sz w:val="10"/>
                <w:szCs w:val="10"/>
                <w:color w:val="auto"/>
                <w:w w:val="71"/>
              </w:rPr>
              <w:t>$</w:t>
            </w:r>
          </w:p>
        </w:tc>
        <w:tc>
          <w:tcPr>
            <w:tcW w:w="1060" w:type="dxa"/>
            <w:vAlign w:val="bottom"/>
            <w:gridSpan w:val="3"/>
            <w:shd w:val="clear" w:color="auto" w:fill="CFF0FC"/>
          </w:tcPr>
          <w:p>
            <w:pPr>
              <w:jc w:val="right"/>
              <w:ind w:right="380"/>
              <w:spacing w:after="0" w:line="113" w:lineRule="exact"/>
              <w:rPr>
                <w:sz w:val="20"/>
                <w:szCs w:val="20"/>
                <w:color w:val="auto"/>
              </w:rPr>
            </w:pPr>
            <w:r>
              <w:rPr>
                <w:rFonts w:ascii="Arial" w:cs="Arial" w:eastAsia="Arial" w:hAnsi="Arial"/>
                <w:sz w:val="10"/>
                <w:szCs w:val="10"/>
                <w:color w:val="auto"/>
              </w:rPr>
              <w:t>(30.4)</w:t>
            </w:r>
          </w:p>
        </w:tc>
        <w:tc>
          <w:tcPr>
            <w:tcW w:w="640" w:type="dxa"/>
            <w:vAlign w:val="bottom"/>
            <w:gridSpan w:val="2"/>
            <w:shd w:val="clear" w:color="auto" w:fill="CFF0FC"/>
          </w:tcPr>
          <w:p>
            <w:pPr>
              <w:spacing w:after="0" w:line="113" w:lineRule="exact"/>
              <w:rPr>
                <w:sz w:val="20"/>
                <w:szCs w:val="20"/>
                <w:color w:val="auto"/>
              </w:rPr>
            </w:pPr>
            <w:r>
              <w:rPr>
                <w:rFonts w:ascii="Arial" w:cs="Arial" w:eastAsia="Arial" w:hAnsi="Arial"/>
                <w:sz w:val="10"/>
                <w:szCs w:val="10"/>
                <w:color w:val="auto"/>
              </w:rPr>
              <w:t>$</w:t>
            </w:r>
          </w:p>
        </w:tc>
        <w:tc>
          <w:tcPr>
            <w:tcW w:w="11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42.8</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80" w:type="dxa"/>
            <w:vAlign w:val="bottom"/>
          </w:tcPr>
          <w:p>
            <w:pPr>
              <w:ind w:left="160"/>
              <w:spacing w:after="0" w:line="113" w:lineRule="exact"/>
              <w:rPr>
                <w:sz w:val="20"/>
                <w:szCs w:val="20"/>
                <w:color w:val="auto"/>
              </w:rPr>
            </w:pPr>
            <w:r>
              <w:rPr>
                <w:rFonts w:ascii="Arial" w:cs="Arial" w:eastAsia="Arial" w:hAnsi="Arial"/>
                <w:sz w:val="10"/>
                <w:szCs w:val="10"/>
                <w:color w:val="auto"/>
              </w:rPr>
              <w:t>Interest (income) expense, net (1)</w:t>
            </w: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75.4</w:t>
            </w: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6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(20.2)</w:t>
            </w:r>
          </w:p>
        </w:tc>
        <w:tc>
          <w:tcPr>
            <w:tcW w:w="0" w:type="dxa"/>
            <w:vAlign w:val="bottom"/>
          </w:tcPr>
          <w:p>
            <w:pPr>
              <w:spacing w:after="0"/>
              <w:rPr>
                <w:sz w:val="1"/>
                <w:szCs w:val="1"/>
                <w:color w:val="auto"/>
              </w:rPr>
            </w:pPr>
          </w:p>
        </w:tc>
      </w:tr>
      <w:tr>
        <w:trPr>
          <w:trHeight w:val="113"/>
        </w:trPr>
        <w:tc>
          <w:tcPr>
            <w:tcW w:w="73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Depreciation and amortization expense</w:t>
            </w:r>
          </w:p>
        </w:tc>
        <w:tc>
          <w:tcPr>
            <w:tcW w:w="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20"/>
              <w:spacing w:after="0" w:line="113" w:lineRule="exact"/>
              <w:rPr>
                <w:sz w:val="20"/>
                <w:szCs w:val="20"/>
                <w:color w:val="auto"/>
              </w:rPr>
            </w:pPr>
            <w:r>
              <w:rPr>
                <w:rFonts w:ascii="Arial" w:cs="Arial" w:eastAsia="Arial" w:hAnsi="Arial"/>
                <w:sz w:val="10"/>
                <w:szCs w:val="10"/>
                <w:color w:val="auto"/>
              </w:rPr>
              <w:t>237.4</w:t>
            </w:r>
          </w:p>
        </w:tc>
        <w:tc>
          <w:tcPr>
            <w:tcW w:w="4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1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198.1</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80" w:type="dxa"/>
            <w:vAlign w:val="bottom"/>
          </w:tcPr>
          <w:p>
            <w:pPr>
              <w:ind w:left="160"/>
              <w:spacing w:after="0" w:line="113" w:lineRule="exact"/>
              <w:rPr>
                <w:sz w:val="20"/>
                <w:szCs w:val="20"/>
                <w:color w:val="auto"/>
              </w:rPr>
            </w:pPr>
            <w:r>
              <w:rPr>
                <w:rFonts w:ascii="Arial" w:cs="Arial" w:eastAsia="Arial" w:hAnsi="Arial"/>
                <w:sz w:val="10"/>
                <w:szCs w:val="10"/>
                <w:color w:val="auto"/>
              </w:rPr>
              <w:t>(Gain) loss on sale or disposition of assets</w:t>
            </w: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3.2</w:t>
            </w: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6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13"/>
        </w:trPr>
        <w:tc>
          <w:tcPr>
            <w:tcW w:w="73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(Gain) loss from financing activities (2)</w:t>
            </w:r>
          </w:p>
        </w:tc>
        <w:tc>
          <w:tcPr>
            <w:tcW w:w="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20"/>
              <w:spacing w:after="0" w:line="113" w:lineRule="exact"/>
              <w:rPr>
                <w:sz w:val="20"/>
                <w:szCs w:val="20"/>
                <w:color w:val="auto"/>
              </w:rPr>
            </w:pPr>
            <w:r>
              <w:rPr>
                <w:rFonts w:ascii="Arial" w:cs="Arial" w:eastAsia="Arial" w:hAnsi="Arial"/>
                <w:sz w:val="10"/>
                <w:szCs w:val="10"/>
                <w:color w:val="auto"/>
              </w:rPr>
              <w:t>1.4</w:t>
            </w:r>
          </w:p>
        </w:tc>
        <w:tc>
          <w:tcPr>
            <w:tcW w:w="4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6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7380" w:type="dxa"/>
            <w:vAlign w:val="bottom"/>
          </w:tcPr>
          <w:p>
            <w:pPr>
              <w:ind w:left="160"/>
              <w:spacing w:after="0" w:line="113" w:lineRule="exact"/>
              <w:rPr>
                <w:sz w:val="20"/>
                <w:szCs w:val="20"/>
                <w:color w:val="auto"/>
              </w:rPr>
            </w:pPr>
            <w:r>
              <w:rPr>
                <w:rFonts w:ascii="Arial" w:cs="Arial" w:eastAsia="Arial" w:hAnsi="Arial"/>
                <w:sz w:val="10"/>
                <w:szCs w:val="10"/>
                <w:color w:val="auto"/>
              </w:rPr>
              <w:t>Equity (earnings) loss</w:t>
            </w: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gridSpan w:val="3"/>
          </w:tcPr>
          <w:p>
            <w:pPr>
              <w:jc w:val="right"/>
              <w:ind w:right="380"/>
              <w:spacing w:after="0" w:line="113" w:lineRule="exact"/>
              <w:rPr>
                <w:sz w:val="20"/>
                <w:szCs w:val="20"/>
                <w:color w:val="auto"/>
              </w:rPr>
            </w:pPr>
            <w:r>
              <w:rPr>
                <w:rFonts w:ascii="Arial" w:cs="Arial" w:eastAsia="Arial" w:hAnsi="Arial"/>
                <w:sz w:val="10"/>
                <w:szCs w:val="10"/>
                <w:color w:val="auto"/>
              </w:rPr>
              <w:t>(2.8)</w:t>
            </w: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6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13"/>
        </w:trPr>
        <w:tc>
          <w:tcPr>
            <w:tcW w:w="73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Distributions from unconsolidated affiliates and preferred partner interests, net</w:t>
            </w:r>
          </w:p>
        </w:tc>
        <w:tc>
          <w:tcPr>
            <w:tcW w:w="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20"/>
              <w:spacing w:after="0" w:line="113" w:lineRule="exact"/>
              <w:rPr>
                <w:sz w:val="20"/>
                <w:szCs w:val="20"/>
                <w:color w:val="auto"/>
              </w:rPr>
            </w:pPr>
            <w:r>
              <w:rPr>
                <w:rFonts w:ascii="Arial" w:cs="Arial" w:eastAsia="Arial" w:hAnsi="Arial"/>
                <w:sz w:val="10"/>
                <w:szCs w:val="10"/>
                <w:color w:val="auto"/>
              </w:rPr>
              <w:t>6.8</w:t>
            </w:r>
          </w:p>
        </w:tc>
        <w:tc>
          <w:tcPr>
            <w:tcW w:w="4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1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6.9</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80" w:type="dxa"/>
            <w:vAlign w:val="bottom"/>
          </w:tcPr>
          <w:p>
            <w:pPr>
              <w:ind w:left="160"/>
              <w:spacing w:after="0" w:line="113" w:lineRule="exact"/>
              <w:rPr>
                <w:sz w:val="20"/>
                <w:szCs w:val="20"/>
                <w:color w:val="auto"/>
              </w:rPr>
            </w:pPr>
            <w:r>
              <w:rPr>
                <w:rFonts w:ascii="Arial" w:cs="Arial" w:eastAsia="Arial" w:hAnsi="Arial"/>
                <w:sz w:val="10"/>
                <w:szCs w:val="10"/>
                <w:color w:val="auto"/>
              </w:rPr>
              <w:t>Change in contingent considerations</w:t>
            </w: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9.7</w:t>
            </w: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jc w:val="right"/>
              <w:spacing w:after="0" w:line="113" w:lineRule="exact"/>
              <w:rPr>
                <w:sz w:val="20"/>
                <w:szCs w:val="20"/>
                <w:color w:val="auto"/>
              </w:rPr>
            </w:pPr>
            <w:r>
              <w:rPr>
                <w:rFonts w:ascii="Arial" w:cs="Arial" w:eastAsia="Arial" w:hAnsi="Arial"/>
                <w:sz w:val="10"/>
                <w:szCs w:val="10"/>
                <w:color w:val="auto"/>
              </w:rPr>
              <w:t>56.1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Splitter Agreement (3)</w:t>
            </w:r>
          </w:p>
        </w:tc>
        <w:tc>
          <w:tcPr>
            <w:tcW w:w="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60" w:type="dxa"/>
            <w:vAlign w:val="bottom"/>
            <w:gridSpan w:val="3"/>
            <w:shd w:val="clear" w:color="auto" w:fill="CFF0FC"/>
          </w:tcPr>
          <w:p>
            <w:pPr>
              <w:jc w:val="right"/>
              <w:ind w:right="440"/>
              <w:spacing w:after="0" w:line="113" w:lineRule="exact"/>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1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10.8</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80" w:type="dxa"/>
            <w:vAlign w:val="bottom"/>
          </w:tcPr>
          <w:p>
            <w:pPr>
              <w:ind w:left="160"/>
              <w:spacing w:after="0" w:line="113" w:lineRule="exact"/>
              <w:rPr>
                <w:sz w:val="20"/>
                <w:szCs w:val="20"/>
                <w:color w:val="auto"/>
              </w:rPr>
            </w:pPr>
            <w:r>
              <w:rPr>
                <w:rFonts w:ascii="Arial" w:cs="Arial" w:eastAsia="Arial" w:hAnsi="Arial"/>
                <w:sz w:val="10"/>
                <w:szCs w:val="10"/>
                <w:color w:val="auto"/>
              </w:rPr>
              <w:t>Risk management activities</w:t>
            </w: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7.2</w:t>
            </w: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jc w:val="right"/>
              <w:spacing w:after="0" w:line="113" w:lineRule="exact"/>
              <w:rPr>
                <w:sz w:val="20"/>
                <w:szCs w:val="20"/>
                <w:color w:val="auto"/>
              </w:rPr>
            </w:pPr>
            <w:r>
              <w:rPr>
                <w:rFonts w:ascii="Arial" w:cs="Arial" w:eastAsia="Arial" w:hAnsi="Arial"/>
                <w:sz w:val="10"/>
                <w:szCs w:val="10"/>
                <w:color w:val="auto"/>
              </w:rPr>
              <w:t>9.7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Noncontrolling interests adjustments (4)</w:t>
            </w:r>
          </w:p>
        </w:tc>
        <w:tc>
          <w:tcPr>
            <w:tcW w:w="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60" w:type="dxa"/>
            <w:vAlign w:val="bottom"/>
            <w:gridSpan w:val="3"/>
            <w:shd w:val="clear" w:color="auto" w:fill="CFF0FC"/>
          </w:tcPr>
          <w:p>
            <w:pPr>
              <w:jc w:val="right"/>
              <w:ind w:right="380"/>
              <w:spacing w:after="0" w:line="113" w:lineRule="exact"/>
              <w:rPr>
                <w:sz w:val="20"/>
                <w:szCs w:val="20"/>
                <w:color w:val="auto"/>
              </w:rPr>
            </w:pPr>
            <w:r>
              <w:rPr>
                <w:rFonts w:ascii="Arial" w:cs="Arial" w:eastAsia="Arial" w:hAnsi="Arial"/>
                <w:sz w:val="10"/>
                <w:szCs w:val="10"/>
                <w:color w:val="auto"/>
              </w:rPr>
              <w:t>(7.1)</w:t>
            </w:r>
          </w:p>
        </w:tc>
        <w:tc>
          <w:tcPr>
            <w:tcW w:w="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6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111"/>
        </w:trPr>
        <w:tc>
          <w:tcPr>
            <w:tcW w:w="7380" w:type="dxa"/>
            <w:vAlign w:val="bottom"/>
          </w:tcPr>
          <w:p>
            <w:pPr>
              <w:spacing w:after="0" w:line="103" w:lineRule="exact"/>
              <w:rPr>
                <w:sz w:val="20"/>
                <w:szCs w:val="20"/>
                <w:color w:val="auto"/>
              </w:rPr>
            </w:pPr>
            <w:r>
              <w:rPr>
                <w:rFonts w:ascii="Arial" w:cs="Arial" w:eastAsia="Arial" w:hAnsi="Arial"/>
                <w:sz w:val="10"/>
                <w:szCs w:val="10"/>
                <w:b w:val="1"/>
                <w:bCs w:val="1"/>
                <w:color w:val="auto"/>
              </w:rPr>
              <w:t>TRP Adjusted EBITDA</w:t>
            </w:r>
          </w:p>
        </w:tc>
        <w:tc>
          <w:tcPr>
            <w:tcW w:w="20" w:type="dxa"/>
            <w:vAlign w:val="bottom"/>
          </w:tcPr>
          <w:p>
            <w:pPr>
              <w:spacing w:after="0"/>
              <w:rPr>
                <w:sz w:val="9"/>
                <w:szCs w:val="9"/>
                <w:color w:val="auto"/>
              </w:rPr>
            </w:pPr>
          </w:p>
        </w:tc>
        <w:tc>
          <w:tcPr>
            <w:tcW w:w="112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bottom w:val="single" w:sz="8" w:color="auto"/>
            </w:tcBorders>
            <w:gridSpan w:val="2"/>
          </w:tcPr>
          <w:p>
            <w:pPr>
              <w:jc w:val="right"/>
              <w:ind w:right="20"/>
              <w:spacing w:after="0" w:line="103" w:lineRule="exact"/>
              <w:rPr>
                <w:sz w:val="20"/>
                <w:szCs w:val="20"/>
                <w:color w:val="auto"/>
              </w:rPr>
            </w:pPr>
            <w:r>
              <w:rPr>
                <w:rFonts w:ascii="Arial" w:cs="Arial" w:eastAsia="Arial" w:hAnsi="Arial"/>
                <w:sz w:val="10"/>
                <w:szCs w:val="10"/>
                <w:b w:val="1"/>
                <w:bCs w:val="1"/>
                <w:color w:val="auto"/>
              </w:rPr>
              <w:t>300.8</w:t>
            </w: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top w:val="single" w:sz="8" w:color="auto"/>
              <w:bottom w:val="single" w:sz="8" w:color="auto"/>
            </w:tcBorders>
          </w:tcPr>
          <w:p>
            <w:pPr>
              <w:spacing w:after="0" w:line="103" w:lineRule="exact"/>
              <w:rPr>
                <w:sz w:val="20"/>
                <w:szCs w:val="20"/>
                <w:color w:val="auto"/>
              </w:rPr>
            </w:pPr>
            <w:r>
              <w:rPr>
                <w:rFonts w:ascii="Arial" w:cs="Arial" w:eastAsia="Arial" w:hAnsi="Arial"/>
                <w:sz w:val="10"/>
                <w:szCs w:val="10"/>
                <w:b w:val="1"/>
                <w:bCs w:val="1"/>
                <w:color w:val="auto"/>
              </w:rPr>
              <w:t>$</w:t>
            </w:r>
          </w:p>
        </w:tc>
        <w:tc>
          <w:tcPr>
            <w:tcW w:w="114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297.5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85" w:hanging="385"/>
        <w:spacing w:after="0"/>
        <w:tabs>
          <w:tab w:leader="none" w:pos="385" w:val="left"/>
        </w:tabs>
        <w:numPr>
          <w:ilvl w:val="0"/>
          <w:numId w:val="24"/>
        </w:numPr>
        <w:rPr>
          <w:rFonts w:ascii="Arial" w:cs="Arial" w:eastAsia="Arial" w:hAnsi="Arial"/>
          <w:sz w:val="10"/>
          <w:szCs w:val="10"/>
          <w:color w:val="auto"/>
        </w:rPr>
      </w:pPr>
      <w:r>
        <w:rPr>
          <w:rFonts w:ascii="Arial" w:cs="Arial" w:eastAsia="Arial" w:hAnsi="Arial"/>
          <w:sz w:val="10"/>
          <w:szCs w:val="10"/>
          <w:color w:val="auto"/>
        </w:rPr>
        <w:t>Includes the change in estimated redemption value of the mandatorily redeemable preferred interests.</w:t>
      </w:r>
    </w:p>
    <w:p>
      <w:pPr>
        <w:ind w:left="385" w:hanging="385"/>
        <w:spacing w:after="0" w:line="215" w:lineRule="auto"/>
        <w:tabs>
          <w:tab w:leader="none" w:pos="385" w:val="left"/>
        </w:tabs>
        <w:numPr>
          <w:ilvl w:val="0"/>
          <w:numId w:val="24"/>
        </w:numPr>
        <w:rPr>
          <w:rFonts w:ascii="Arial" w:cs="Arial" w:eastAsia="Arial" w:hAnsi="Arial"/>
          <w:sz w:val="10"/>
          <w:szCs w:val="10"/>
          <w:color w:val="auto"/>
        </w:rPr>
      </w:pPr>
      <w:r>
        <w:rPr>
          <w:rFonts w:ascii="Arial" w:cs="Arial" w:eastAsia="Arial" w:hAnsi="Arial"/>
          <w:sz w:val="10"/>
          <w:szCs w:val="10"/>
          <w:color w:val="auto"/>
        </w:rPr>
        <w:t>Gains or losses on debt repurchases, amendments, exchanges or early debt extinguishments.</w:t>
      </w:r>
    </w:p>
    <w:p>
      <w:pPr>
        <w:ind w:left="385" w:hanging="385"/>
        <w:spacing w:after="0" w:line="215" w:lineRule="auto"/>
        <w:tabs>
          <w:tab w:leader="none" w:pos="385" w:val="left"/>
        </w:tabs>
        <w:numPr>
          <w:ilvl w:val="0"/>
          <w:numId w:val="24"/>
        </w:numPr>
        <w:rPr>
          <w:rFonts w:ascii="Arial" w:cs="Arial" w:eastAsia="Arial" w:hAnsi="Arial"/>
          <w:sz w:val="10"/>
          <w:szCs w:val="10"/>
          <w:color w:val="auto"/>
        </w:rPr>
      </w:pPr>
      <w:r>
        <w:rPr>
          <w:rFonts w:ascii="Arial" w:cs="Arial" w:eastAsia="Arial" w:hAnsi="Arial"/>
          <w:sz w:val="10"/>
          <w:szCs w:val="10"/>
          <w:color w:val="auto"/>
        </w:rPr>
        <w:t>The Splitter Agreement adjustment represents the recognition of the annual cash payment received under the condensate splitter agreement over the four quarters following receipt. As a result of Vitol Americas Corp.’s election to terminate the Splitter Agreement in December 2018, the full amount of the 2018 annual cash payment was recognized in Adjusted EBITDA in the fourth quarter of 2018.</w:t>
      </w:r>
    </w:p>
    <w:p>
      <w:pPr>
        <w:ind w:left="385" w:hanging="385"/>
        <w:spacing w:after="0"/>
        <w:tabs>
          <w:tab w:leader="none" w:pos="385" w:val="left"/>
        </w:tabs>
        <w:numPr>
          <w:ilvl w:val="0"/>
          <w:numId w:val="24"/>
        </w:numPr>
        <w:rPr>
          <w:rFonts w:ascii="Arial" w:cs="Arial" w:eastAsia="Arial" w:hAnsi="Arial"/>
          <w:sz w:val="10"/>
          <w:szCs w:val="10"/>
          <w:color w:val="auto"/>
        </w:rPr>
      </w:pPr>
      <w:r>
        <w:rPr>
          <w:rFonts w:ascii="Arial" w:cs="Arial" w:eastAsia="Arial" w:hAnsi="Arial"/>
          <w:sz w:val="10"/>
          <w:szCs w:val="10"/>
          <w:color w:val="auto"/>
        </w:rPr>
        <w:t>Noncontrolling interest portion of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121285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12850" cy="5715"/>
                    </a:xfrm>
                    <a:prstGeom prst="rect">
                      <a:avLst/>
                    </a:prstGeom>
                    <a:noFill/>
                  </pic:spPr>
                </pic:pic>
              </a:graphicData>
            </a:graphic>
          </wp:anchor>
        </w:drawing>
      </w:r>
    </w:p>
    <w:p>
      <w:pPr>
        <w:spacing w:after="0" w:line="256"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32536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507" w:right="199" w:bottom="1440" w:gutter="0" w:footer="0" w:header="0"/>
        </w:sectPr>
      </w:pPr>
    </w:p>
    <w:bookmarkStart w:id="34" w:name="page35"/>
    <w:bookmarkEnd w:id="34"/>
    <w:p>
      <w:pPr>
        <w:ind w:left="5"/>
        <w:spacing w:after="0"/>
        <w:rPr>
          <w:sz w:val="20"/>
          <w:szCs w:val="20"/>
          <w:color w:val="auto"/>
        </w:rPr>
      </w:pPr>
      <w:r>
        <w:rPr>
          <w:rFonts w:ascii="Arial" w:cs="Arial" w:eastAsia="Arial" w:hAnsi="Arial"/>
          <w:sz w:val="13"/>
          <w:szCs w:val="13"/>
          <w:b w:val="1"/>
          <w:bCs w:val="1"/>
          <w:i w:val="1"/>
          <w:iCs w:val="1"/>
          <w:color w:val="auto"/>
        </w:rPr>
        <w:t>Consolidated Results of Operations</w:t>
      </w:r>
    </w:p>
    <w:p>
      <w:pPr>
        <w:spacing w:after="0" w:line="76"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following table and discussion is a summary of our consolidated results of operations:</w:t>
      </w:r>
    </w:p>
    <w:p>
      <w:pPr>
        <w:spacing w:after="0" w:line="202"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396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0"/>
                <w:szCs w:val="10"/>
                <w:b w:val="1"/>
                <w:bCs w:val="1"/>
                <w:color w:val="auto"/>
              </w:rPr>
              <w:t>Three Months Ended March 31,</w:t>
            </w:r>
          </w:p>
        </w:tc>
        <w:tc>
          <w:tcPr>
            <w:tcW w:w="11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4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2019 vs. 2018</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960" w:type="dxa"/>
            <w:vAlign w:val="bottom"/>
          </w:tcPr>
          <w:p>
            <w:pPr>
              <w:spacing w:after="0"/>
              <w:rPr>
                <w:sz w:val="8"/>
                <w:szCs w:val="8"/>
                <w:color w:val="auto"/>
              </w:rPr>
            </w:pPr>
          </w:p>
        </w:tc>
        <w:tc>
          <w:tcPr>
            <w:tcW w:w="1120" w:type="dxa"/>
            <w:vAlign w:val="bottom"/>
            <w:tcBorders>
              <w:bottom w:val="single" w:sz="8" w:color="auto"/>
            </w:tcBorders>
          </w:tcPr>
          <w:p>
            <w:pPr>
              <w:jc w:val="right"/>
              <w:ind w:right="109"/>
              <w:spacing w:after="0" w:line="103" w:lineRule="exact"/>
              <w:rPr>
                <w:sz w:val="20"/>
                <w:szCs w:val="20"/>
                <w:color w:val="auto"/>
              </w:rPr>
            </w:pPr>
            <w:r>
              <w:rPr>
                <w:rFonts w:ascii="Arial" w:cs="Arial" w:eastAsia="Arial" w:hAnsi="Arial"/>
                <w:sz w:val="10"/>
                <w:szCs w:val="10"/>
                <w:b w:val="1"/>
                <w:bCs w:val="1"/>
                <w:color w:val="auto"/>
              </w:rPr>
              <w:t>2019</w:t>
            </w:r>
          </w:p>
        </w:tc>
        <w:tc>
          <w:tcPr>
            <w:tcW w:w="6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jc w:val="right"/>
              <w:ind w:right="750"/>
              <w:spacing w:after="0" w:line="103" w:lineRule="exact"/>
              <w:rPr>
                <w:sz w:val="20"/>
                <w:szCs w:val="20"/>
                <w:color w:val="auto"/>
              </w:rPr>
            </w:pPr>
            <w:r>
              <w:rPr>
                <w:rFonts w:ascii="Arial" w:cs="Arial" w:eastAsia="Arial" w:hAnsi="Arial"/>
                <w:sz w:val="10"/>
                <w:szCs w:val="10"/>
                <w:b w:val="1"/>
                <w:bCs w:val="1"/>
                <w:color w:val="auto"/>
              </w:rPr>
              <w:t>2018</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gridSpan w:val="2"/>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jc w:val="right"/>
              <w:ind w:right="10"/>
              <w:spacing w:after="0" w:line="103" w:lineRule="exact"/>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96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Revenues:</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960" w:type="dxa"/>
            <w:vAlign w:val="bottom"/>
          </w:tcPr>
          <w:p>
            <w:pPr>
              <w:ind w:left="160"/>
              <w:spacing w:after="0" w:line="113" w:lineRule="exact"/>
              <w:rPr>
                <w:sz w:val="20"/>
                <w:szCs w:val="20"/>
                <w:color w:val="auto"/>
              </w:rPr>
            </w:pPr>
            <w:r>
              <w:rPr>
                <w:rFonts w:ascii="Arial" w:cs="Arial" w:eastAsia="Arial" w:hAnsi="Arial"/>
                <w:sz w:val="10"/>
                <w:szCs w:val="10"/>
                <w:color w:val="auto"/>
              </w:rPr>
              <w:t>Sales of commodities</w:t>
            </w:r>
          </w:p>
        </w:tc>
        <w:tc>
          <w:tcPr>
            <w:tcW w:w="1120" w:type="dxa"/>
            <w:vAlign w:val="bottom"/>
          </w:tcPr>
          <w:p>
            <w:pPr>
              <w:jc w:val="right"/>
              <w:ind w:right="1049"/>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1,976.5</w:t>
            </w:r>
          </w:p>
        </w:tc>
        <w:tc>
          <w:tcPr>
            <w:tcW w:w="180" w:type="dxa"/>
            <w:vAlign w:val="bottom"/>
          </w:tcPr>
          <w:p>
            <w:pPr>
              <w:spacing w:after="0"/>
              <w:rPr>
                <w:sz w:val="9"/>
                <w:szCs w:val="9"/>
                <w:color w:val="auto"/>
              </w:rPr>
            </w:pPr>
          </w:p>
        </w:tc>
        <w:tc>
          <w:tcPr>
            <w:tcW w:w="820" w:type="dxa"/>
            <w:vAlign w:val="bottom"/>
            <w:gridSpan w:val="2"/>
          </w:tcPr>
          <w:p>
            <w:pPr>
              <w:jc w:val="right"/>
              <w:ind w:right="595"/>
              <w:spacing w:after="0" w:line="113" w:lineRule="exact"/>
              <w:rPr>
                <w:sz w:val="20"/>
                <w:szCs w:val="20"/>
                <w:color w:val="auto"/>
              </w:rPr>
            </w:pPr>
            <w:r>
              <w:rPr>
                <w:rFonts w:ascii="Arial" w:cs="Arial" w:eastAsia="Arial" w:hAnsi="Arial"/>
                <w:sz w:val="10"/>
                <w:szCs w:val="10"/>
                <w:color w:val="auto"/>
              </w:rPr>
              <w:t>$</w:t>
            </w:r>
          </w:p>
        </w:tc>
        <w:tc>
          <w:tcPr>
            <w:tcW w:w="1120" w:type="dxa"/>
            <w:vAlign w:val="bottom"/>
          </w:tcPr>
          <w:p>
            <w:pPr>
              <w:jc w:val="right"/>
              <w:spacing w:after="0" w:line="113" w:lineRule="exact"/>
              <w:rPr>
                <w:sz w:val="20"/>
                <w:szCs w:val="20"/>
                <w:color w:val="auto"/>
              </w:rPr>
            </w:pPr>
            <w:r>
              <w:rPr>
                <w:rFonts w:ascii="Arial" w:cs="Arial" w:eastAsia="Arial" w:hAnsi="Arial"/>
                <w:sz w:val="10"/>
                <w:szCs w:val="10"/>
                <w:color w:val="auto"/>
              </w:rPr>
              <w:t>2,173.7</w:t>
            </w:r>
          </w:p>
        </w:tc>
        <w:tc>
          <w:tcPr>
            <w:tcW w:w="200" w:type="dxa"/>
            <w:vAlign w:val="bottom"/>
          </w:tcPr>
          <w:p>
            <w:pPr>
              <w:spacing w:after="0"/>
              <w:rPr>
                <w:sz w:val="9"/>
                <w:szCs w:val="9"/>
                <w:color w:val="auto"/>
              </w:rPr>
            </w:pPr>
          </w:p>
        </w:tc>
        <w:tc>
          <w:tcPr>
            <w:tcW w:w="800" w:type="dxa"/>
            <w:vAlign w:val="bottom"/>
            <w:gridSpan w:val="2"/>
          </w:tcPr>
          <w:p>
            <w:pPr>
              <w:jc w:val="right"/>
              <w:ind w:right="595"/>
              <w:spacing w:after="0" w:line="113" w:lineRule="exact"/>
              <w:rPr>
                <w:sz w:val="20"/>
                <w:szCs w:val="20"/>
                <w:color w:val="auto"/>
              </w:rPr>
            </w:pPr>
            <w:r>
              <w:rPr>
                <w:rFonts w:ascii="Arial" w:cs="Arial" w:eastAsia="Arial" w:hAnsi="Arial"/>
                <w:sz w:val="10"/>
                <w:szCs w:val="10"/>
                <w:color w:val="auto"/>
              </w:rPr>
              <w:t>$</w:t>
            </w:r>
          </w:p>
        </w:tc>
        <w:tc>
          <w:tcPr>
            <w:tcW w:w="1740" w:type="dxa"/>
            <w:vAlign w:val="bottom"/>
            <w:gridSpan w:val="2"/>
          </w:tcPr>
          <w:p>
            <w:pPr>
              <w:jc w:val="right"/>
              <w:ind w:right="580"/>
              <w:spacing w:after="0" w:line="113" w:lineRule="exact"/>
              <w:rPr>
                <w:sz w:val="20"/>
                <w:szCs w:val="20"/>
                <w:color w:val="auto"/>
              </w:rPr>
            </w:pPr>
            <w:r>
              <w:rPr>
                <w:rFonts w:ascii="Arial" w:cs="Arial" w:eastAsia="Arial" w:hAnsi="Arial"/>
                <w:sz w:val="10"/>
                <w:szCs w:val="10"/>
                <w:color w:val="auto"/>
              </w:rPr>
              <w:t>(197.2)</w:t>
            </w:r>
          </w:p>
        </w:tc>
        <w:tc>
          <w:tcPr>
            <w:tcW w:w="88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13"/>
        </w:trPr>
        <w:tc>
          <w:tcPr>
            <w:tcW w:w="396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Fees from midstream services</w:t>
            </w:r>
          </w:p>
        </w:tc>
        <w:tc>
          <w:tcPr>
            <w:tcW w:w="1120" w:type="dxa"/>
            <w:vAlign w:val="bottom"/>
            <w:tcBorders>
              <w:bottom w:val="single" w:sz="8" w:color="auto"/>
            </w:tcBorders>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322.9</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11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281.9</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114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41.0</w:t>
            </w:r>
          </w:p>
        </w:tc>
        <w:tc>
          <w:tcPr>
            <w:tcW w:w="6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02"/>
        </w:trPr>
        <w:tc>
          <w:tcPr>
            <w:tcW w:w="3960" w:type="dxa"/>
            <w:vAlign w:val="bottom"/>
          </w:tcPr>
          <w:p>
            <w:pPr>
              <w:ind w:left="160"/>
              <w:spacing w:after="0" w:line="103" w:lineRule="exact"/>
              <w:rPr>
                <w:sz w:val="20"/>
                <w:szCs w:val="20"/>
                <w:color w:val="auto"/>
              </w:rPr>
            </w:pPr>
            <w:r>
              <w:rPr>
                <w:rFonts w:ascii="Arial" w:cs="Arial" w:eastAsia="Arial" w:hAnsi="Arial"/>
                <w:sz w:val="10"/>
                <w:szCs w:val="10"/>
                <w:color w:val="auto"/>
              </w:rPr>
              <w:t>Total revenues</w:t>
            </w:r>
          </w:p>
        </w:tc>
        <w:tc>
          <w:tcPr>
            <w:tcW w:w="1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2,299.4</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jc w:val="right"/>
              <w:spacing w:after="0" w:line="103" w:lineRule="exact"/>
              <w:rPr>
                <w:sz w:val="20"/>
                <w:szCs w:val="20"/>
                <w:color w:val="auto"/>
              </w:rPr>
            </w:pPr>
            <w:r>
              <w:rPr>
                <w:rFonts w:ascii="Arial" w:cs="Arial" w:eastAsia="Arial" w:hAnsi="Arial"/>
                <w:sz w:val="10"/>
                <w:szCs w:val="10"/>
                <w:color w:val="auto"/>
              </w:rPr>
              <w:t>2,455.6</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jc w:val="right"/>
              <w:spacing w:after="0" w:line="103" w:lineRule="exact"/>
              <w:rPr>
                <w:sz w:val="20"/>
                <w:szCs w:val="20"/>
                <w:color w:val="auto"/>
              </w:rPr>
            </w:pPr>
            <w:r>
              <w:rPr>
                <w:rFonts w:ascii="Arial" w:cs="Arial" w:eastAsia="Arial" w:hAnsi="Arial"/>
                <w:sz w:val="10"/>
                <w:szCs w:val="10"/>
                <w:color w:val="auto"/>
              </w:rPr>
              <w:t>(156.2)</w:t>
            </w:r>
          </w:p>
        </w:tc>
        <w:tc>
          <w:tcPr>
            <w:tcW w:w="600" w:type="dxa"/>
            <w:vAlign w:val="bottom"/>
          </w:tcPr>
          <w:p>
            <w:pPr>
              <w:spacing w:after="0"/>
              <w:rPr>
                <w:sz w:val="8"/>
                <w:szCs w:val="8"/>
                <w:color w:val="auto"/>
              </w:rPr>
            </w:pPr>
          </w:p>
        </w:tc>
        <w:tc>
          <w:tcPr>
            <w:tcW w:w="880" w:type="dxa"/>
            <w:vAlign w:val="bottom"/>
            <w:gridSpan w:val="2"/>
          </w:tcPr>
          <w:p>
            <w:pPr>
              <w:jc w:val="right"/>
              <w:ind w:right="20"/>
              <w:spacing w:after="0" w:line="103"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13"/>
        </w:trPr>
        <w:tc>
          <w:tcPr>
            <w:tcW w:w="396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Product purchases</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1,726.0</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1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1,941.0</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740" w:type="dxa"/>
            <w:vAlign w:val="bottom"/>
            <w:gridSpan w:val="2"/>
            <w:shd w:val="clear" w:color="auto" w:fill="CFF0FC"/>
          </w:tcPr>
          <w:p>
            <w:pPr>
              <w:jc w:val="right"/>
              <w:ind w:right="580"/>
              <w:spacing w:after="0" w:line="113" w:lineRule="exact"/>
              <w:rPr>
                <w:sz w:val="20"/>
                <w:szCs w:val="20"/>
                <w:color w:val="auto"/>
              </w:rPr>
            </w:pPr>
            <w:r>
              <w:rPr>
                <w:rFonts w:ascii="Arial" w:cs="Arial" w:eastAsia="Arial" w:hAnsi="Arial"/>
                <w:sz w:val="10"/>
                <w:szCs w:val="10"/>
                <w:color w:val="auto"/>
              </w:rPr>
              <w:t>(215.0)</w:t>
            </w:r>
          </w:p>
        </w:tc>
        <w:tc>
          <w:tcPr>
            <w:tcW w:w="880" w:type="dxa"/>
            <w:vAlign w:val="bottom"/>
            <w:gridSpan w:val="2"/>
            <w:shd w:val="clear" w:color="auto" w:fill="CFF0FC"/>
          </w:tcPr>
          <w:p>
            <w:pPr>
              <w:jc w:val="right"/>
              <w:ind w:right="20"/>
              <w:spacing w:after="0" w:line="113"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02"/>
        </w:trPr>
        <w:tc>
          <w:tcPr>
            <w:tcW w:w="3960" w:type="dxa"/>
            <w:vAlign w:val="bottom"/>
          </w:tcPr>
          <w:p>
            <w:pPr>
              <w:spacing w:after="0" w:line="103" w:lineRule="exact"/>
              <w:rPr>
                <w:sz w:val="20"/>
                <w:szCs w:val="20"/>
                <w:color w:val="auto"/>
              </w:rPr>
            </w:pPr>
            <w:r>
              <w:rPr>
                <w:rFonts w:ascii="Arial" w:cs="Arial" w:eastAsia="Arial" w:hAnsi="Arial"/>
                <w:sz w:val="10"/>
                <w:szCs w:val="10"/>
                <w:color w:val="auto"/>
              </w:rPr>
              <w:t>Gross margin (1)</w:t>
            </w:r>
          </w:p>
        </w:tc>
        <w:tc>
          <w:tcPr>
            <w:tcW w:w="1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573.4</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514.6</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58.8</w:t>
            </w:r>
          </w:p>
        </w:tc>
        <w:tc>
          <w:tcPr>
            <w:tcW w:w="600" w:type="dxa"/>
            <w:vAlign w:val="bottom"/>
          </w:tcPr>
          <w:p>
            <w:pPr>
              <w:spacing w:after="0"/>
              <w:rPr>
                <w:sz w:val="8"/>
                <w:szCs w:val="8"/>
                <w:color w:val="auto"/>
              </w:rPr>
            </w:pPr>
          </w:p>
        </w:tc>
        <w:tc>
          <w:tcPr>
            <w:tcW w:w="880" w:type="dxa"/>
            <w:vAlign w:val="bottom"/>
            <w:gridSpan w:val="2"/>
          </w:tcPr>
          <w:p>
            <w:pPr>
              <w:jc w:val="right"/>
              <w:ind w:right="60"/>
              <w:spacing w:after="0" w:line="103"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13"/>
        </w:trPr>
        <w:tc>
          <w:tcPr>
            <w:tcW w:w="396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Operating expenses</w:t>
            </w:r>
          </w:p>
        </w:tc>
        <w:tc>
          <w:tcPr>
            <w:tcW w:w="1120" w:type="dxa"/>
            <w:vAlign w:val="bottom"/>
            <w:tcBorders>
              <w:bottom w:val="single" w:sz="8" w:color="auto"/>
            </w:tcBorders>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190.2</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11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173.2</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114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17.0</w:t>
            </w:r>
          </w:p>
        </w:tc>
        <w:tc>
          <w:tcPr>
            <w:tcW w:w="6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02"/>
        </w:trPr>
        <w:tc>
          <w:tcPr>
            <w:tcW w:w="3960" w:type="dxa"/>
            <w:vAlign w:val="bottom"/>
          </w:tcPr>
          <w:p>
            <w:pPr>
              <w:spacing w:after="0" w:line="103" w:lineRule="exact"/>
              <w:rPr>
                <w:sz w:val="20"/>
                <w:szCs w:val="20"/>
                <w:color w:val="auto"/>
              </w:rPr>
            </w:pPr>
            <w:r>
              <w:rPr>
                <w:rFonts w:ascii="Arial" w:cs="Arial" w:eastAsia="Arial" w:hAnsi="Arial"/>
                <w:sz w:val="10"/>
                <w:szCs w:val="10"/>
                <w:color w:val="auto"/>
              </w:rPr>
              <w:t>Operating margin (1)</w:t>
            </w:r>
          </w:p>
        </w:tc>
        <w:tc>
          <w:tcPr>
            <w:tcW w:w="1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383.2</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jc w:val="right"/>
              <w:spacing w:after="0" w:line="103" w:lineRule="exact"/>
              <w:rPr>
                <w:sz w:val="20"/>
                <w:szCs w:val="20"/>
                <w:color w:val="auto"/>
              </w:rPr>
            </w:pPr>
            <w:r>
              <w:rPr>
                <w:rFonts w:ascii="Arial" w:cs="Arial" w:eastAsia="Arial" w:hAnsi="Arial"/>
                <w:sz w:val="10"/>
                <w:szCs w:val="10"/>
                <w:color w:val="auto"/>
              </w:rPr>
              <w:t>341.4</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jc w:val="right"/>
              <w:spacing w:after="0" w:line="103" w:lineRule="exact"/>
              <w:rPr>
                <w:sz w:val="20"/>
                <w:szCs w:val="20"/>
                <w:color w:val="auto"/>
              </w:rPr>
            </w:pPr>
            <w:r>
              <w:rPr>
                <w:rFonts w:ascii="Arial" w:cs="Arial" w:eastAsia="Arial" w:hAnsi="Arial"/>
                <w:sz w:val="10"/>
                <w:szCs w:val="10"/>
                <w:color w:val="auto"/>
              </w:rPr>
              <w:t>41.8</w:t>
            </w:r>
          </w:p>
        </w:tc>
        <w:tc>
          <w:tcPr>
            <w:tcW w:w="600" w:type="dxa"/>
            <w:vAlign w:val="bottom"/>
          </w:tcPr>
          <w:p>
            <w:pPr>
              <w:spacing w:after="0"/>
              <w:rPr>
                <w:sz w:val="8"/>
                <w:szCs w:val="8"/>
                <w:color w:val="auto"/>
              </w:rPr>
            </w:pPr>
          </w:p>
        </w:tc>
        <w:tc>
          <w:tcPr>
            <w:tcW w:w="880" w:type="dxa"/>
            <w:vAlign w:val="bottom"/>
            <w:gridSpan w:val="2"/>
          </w:tcPr>
          <w:p>
            <w:pPr>
              <w:jc w:val="right"/>
              <w:ind w:right="60"/>
              <w:spacing w:after="0" w:line="103" w:lineRule="exact"/>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13"/>
        </w:trPr>
        <w:tc>
          <w:tcPr>
            <w:tcW w:w="396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Depreciation and amortization expense</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237.4</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1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198.1</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1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39.3</w:t>
            </w:r>
          </w:p>
        </w:tc>
        <w:tc>
          <w:tcPr>
            <w:tcW w:w="6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13"/>
        </w:trPr>
        <w:tc>
          <w:tcPr>
            <w:tcW w:w="3960" w:type="dxa"/>
            <w:vAlign w:val="bottom"/>
          </w:tcPr>
          <w:p>
            <w:pPr>
              <w:spacing w:after="0" w:line="113" w:lineRule="exact"/>
              <w:rPr>
                <w:sz w:val="20"/>
                <w:szCs w:val="20"/>
                <w:color w:val="auto"/>
              </w:rPr>
            </w:pPr>
            <w:r>
              <w:rPr>
                <w:rFonts w:ascii="Arial" w:cs="Arial" w:eastAsia="Arial" w:hAnsi="Arial"/>
                <w:sz w:val="10"/>
                <w:szCs w:val="10"/>
                <w:color w:val="auto"/>
              </w:rPr>
              <w:t>General and administrative expense</w:t>
            </w:r>
          </w:p>
        </w:tc>
        <w:tc>
          <w:tcPr>
            <w:tcW w:w="11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77.7</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tcPr>
          <w:p>
            <w:pPr>
              <w:jc w:val="right"/>
              <w:spacing w:after="0" w:line="113" w:lineRule="exact"/>
              <w:rPr>
                <w:sz w:val="20"/>
                <w:szCs w:val="20"/>
                <w:color w:val="auto"/>
              </w:rPr>
            </w:pPr>
            <w:r>
              <w:rPr>
                <w:rFonts w:ascii="Arial" w:cs="Arial" w:eastAsia="Arial" w:hAnsi="Arial"/>
                <w:sz w:val="10"/>
                <w:szCs w:val="10"/>
                <w:color w:val="auto"/>
              </w:rPr>
              <w:t>52.6</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jc w:val="right"/>
              <w:spacing w:after="0" w:line="113" w:lineRule="exact"/>
              <w:rPr>
                <w:sz w:val="20"/>
                <w:szCs w:val="20"/>
                <w:color w:val="auto"/>
              </w:rPr>
            </w:pPr>
            <w:r>
              <w:rPr>
                <w:rFonts w:ascii="Arial" w:cs="Arial" w:eastAsia="Arial" w:hAnsi="Arial"/>
                <w:sz w:val="10"/>
                <w:szCs w:val="10"/>
                <w:color w:val="auto"/>
              </w:rPr>
              <w:t>25.1</w:t>
            </w:r>
          </w:p>
        </w:tc>
        <w:tc>
          <w:tcPr>
            <w:tcW w:w="600" w:type="dxa"/>
            <w:vAlign w:val="bottom"/>
          </w:tcPr>
          <w:p>
            <w:pPr>
              <w:spacing w:after="0"/>
              <w:rPr>
                <w:sz w:val="9"/>
                <w:szCs w:val="9"/>
                <w:color w:val="auto"/>
              </w:rPr>
            </w:pPr>
          </w:p>
        </w:tc>
        <w:tc>
          <w:tcPr>
            <w:tcW w:w="88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13"/>
        </w:trPr>
        <w:tc>
          <w:tcPr>
            <w:tcW w:w="396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Other operating (income) expense</w:t>
            </w:r>
          </w:p>
        </w:tc>
        <w:tc>
          <w:tcPr>
            <w:tcW w:w="1120" w:type="dxa"/>
            <w:vAlign w:val="bottom"/>
            <w:tcBorders>
              <w:bottom w:val="single" w:sz="8" w:color="auto"/>
            </w:tcBorders>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3.4</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11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0.3</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114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3.1</w:t>
            </w:r>
          </w:p>
        </w:tc>
        <w:tc>
          <w:tcPr>
            <w:tcW w:w="6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NM</w:t>
            </w:r>
          </w:p>
        </w:tc>
        <w:tc>
          <w:tcPr>
            <w:tcW w:w="0" w:type="dxa"/>
            <w:vAlign w:val="bottom"/>
          </w:tcPr>
          <w:p>
            <w:pPr>
              <w:spacing w:after="0"/>
              <w:rPr>
                <w:sz w:val="1"/>
                <w:szCs w:val="1"/>
                <w:color w:val="auto"/>
              </w:rPr>
            </w:pPr>
          </w:p>
        </w:tc>
      </w:tr>
      <w:tr>
        <w:trPr>
          <w:trHeight w:val="102"/>
        </w:trPr>
        <w:tc>
          <w:tcPr>
            <w:tcW w:w="3960" w:type="dxa"/>
            <w:vAlign w:val="bottom"/>
          </w:tcPr>
          <w:p>
            <w:pPr>
              <w:spacing w:after="0" w:line="103" w:lineRule="exact"/>
              <w:rPr>
                <w:sz w:val="20"/>
                <w:szCs w:val="20"/>
                <w:color w:val="auto"/>
              </w:rPr>
            </w:pPr>
            <w:r>
              <w:rPr>
                <w:rFonts w:ascii="Arial" w:cs="Arial" w:eastAsia="Arial" w:hAnsi="Arial"/>
                <w:sz w:val="10"/>
                <w:szCs w:val="10"/>
                <w:color w:val="auto"/>
              </w:rPr>
              <w:t>Income (loss) from operations</w:t>
            </w:r>
          </w:p>
        </w:tc>
        <w:tc>
          <w:tcPr>
            <w:tcW w:w="1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64.7</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jc w:val="right"/>
              <w:spacing w:after="0" w:line="103" w:lineRule="exact"/>
              <w:rPr>
                <w:sz w:val="20"/>
                <w:szCs w:val="20"/>
                <w:color w:val="auto"/>
              </w:rPr>
            </w:pPr>
            <w:r>
              <w:rPr>
                <w:rFonts w:ascii="Arial" w:cs="Arial" w:eastAsia="Arial" w:hAnsi="Arial"/>
                <w:sz w:val="10"/>
                <w:szCs w:val="10"/>
                <w:color w:val="auto"/>
              </w:rPr>
              <w:t>90.4</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740" w:type="dxa"/>
            <w:vAlign w:val="bottom"/>
            <w:gridSpan w:val="2"/>
          </w:tcPr>
          <w:p>
            <w:pPr>
              <w:jc w:val="right"/>
              <w:ind w:right="580"/>
              <w:spacing w:after="0" w:line="103" w:lineRule="exact"/>
              <w:rPr>
                <w:sz w:val="20"/>
                <w:szCs w:val="20"/>
                <w:color w:val="auto"/>
              </w:rPr>
            </w:pPr>
            <w:r>
              <w:rPr>
                <w:rFonts w:ascii="Arial" w:cs="Arial" w:eastAsia="Arial" w:hAnsi="Arial"/>
                <w:sz w:val="10"/>
                <w:szCs w:val="10"/>
                <w:color w:val="auto"/>
              </w:rPr>
              <w:t>(25.7)</w:t>
            </w:r>
          </w:p>
        </w:tc>
        <w:tc>
          <w:tcPr>
            <w:tcW w:w="880" w:type="dxa"/>
            <w:vAlign w:val="bottom"/>
            <w:gridSpan w:val="2"/>
          </w:tcPr>
          <w:p>
            <w:pPr>
              <w:jc w:val="right"/>
              <w:ind w:right="20"/>
              <w:spacing w:after="0" w:line="103" w:lineRule="exact"/>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13"/>
        </w:trPr>
        <w:tc>
          <w:tcPr>
            <w:tcW w:w="396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Interest income (expense), net</w:t>
            </w:r>
          </w:p>
        </w:tc>
        <w:tc>
          <w:tcPr>
            <w:tcW w:w="112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(75.4)</w:t>
            </w: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1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20.2</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740" w:type="dxa"/>
            <w:vAlign w:val="bottom"/>
            <w:gridSpan w:val="2"/>
            <w:shd w:val="clear" w:color="auto" w:fill="CFF0FC"/>
          </w:tcPr>
          <w:p>
            <w:pPr>
              <w:jc w:val="right"/>
              <w:ind w:right="580"/>
              <w:spacing w:after="0" w:line="113" w:lineRule="exact"/>
              <w:rPr>
                <w:sz w:val="20"/>
                <w:szCs w:val="20"/>
                <w:color w:val="auto"/>
              </w:rPr>
            </w:pPr>
            <w:r>
              <w:rPr>
                <w:rFonts w:ascii="Arial" w:cs="Arial" w:eastAsia="Arial" w:hAnsi="Arial"/>
                <w:sz w:val="10"/>
                <w:szCs w:val="10"/>
                <w:color w:val="auto"/>
              </w:rPr>
              <w:t>(95.6)</w:t>
            </w:r>
          </w:p>
        </w:tc>
        <w:tc>
          <w:tcPr>
            <w:tcW w:w="88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NM</w:t>
            </w:r>
          </w:p>
        </w:tc>
        <w:tc>
          <w:tcPr>
            <w:tcW w:w="0" w:type="dxa"/>
            <w:vAlign w:val="bottom"/>
          </w:tcPr>
          <w:p>
            <w:pPr>
              <w:spacing w:after="0"/>
              <w:rPr>
                <w:sz w:val="1"/>
                <w:szCs w:val="1"/>
                <w:color w:val="auto"/>
              </w:rPr>
            </w:pPr>
          </w:p>
        </w:tc>
      </w:tr>
      <w:tr>
        <w:trPr>
          <w:trHeight w:val="113"/>
        </w:trPr>
        <w:tc>
          <w:tcPr>
            <w:tcW w:w="3960" w:type="dxa"/>
            <w:vAlign w:val="bottom"/>
          </w:tcPr>
          <w:p>
            <w:pPr>
              <w:spacing w:after="0" w:line="113" w:lineRule="exact"/>
              <w:rPr>
                <w:sz w:val="20"/>
                <w:szCs w:val="20"/>
                <w:color w:val="auto"/>
              </w:rPr>
            </w:pPr>
            <w:r>
              <w:rPr>
                <w:rFonts w:ascii="Arial" w:cs="Arial" w:eastAsia="Arial" w:hAnsi="Arial"/>
                <w:sz w:val="10"/>
                <w:szCs w:val="10"/>
                <w:color w:val="auto"/>
              </w:rPr>
              <w:t>Equity earnings (loss)</w:t>
            </w:r>
          </w:p>
        </w:tc>
        <w:tc>
          <w:tcPr>
            <w:tcW w:w="11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2.8</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tcPr>
          <w:p>
            <w:pPr>
              <w:jc w:val="right"/>
              <w:spacing w:after="0" w:line="113" w:lineRule="exact"/>
              <w:rPr>
                <w:sz w:val="20"/>
                <w:szCs w:val="20"/>
                <w:color w:val="auto"/>
              </w:rPr>
            </w:pPr>
            <w:r>
              <w:rPr>
                <w:rFonts w:ascii="Arial" w:cs="Arial" w:eastAsia="Arial" w:hAnsi="Arial"/>
                <w:sz w:val="10"/>
                <w:szCs w:val="10"/>
                <w:color w:val="auto"/>
              </w:rPr>
              <w:t>1.5</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jc w:val="right"/>
              <w:spacing w:after="0" w:line="113" w:lineRule="exact"/>
              <w:rPr>
                <w:sz w:val="20"/>
                <w:szCs w:val="20"/>
                <w:color w:val="auto"/>
              </w:rPr>
            </w:pPr>
            <w:r>
              <w:rPr>
                <w:rFonts w:ascii="Arial" w:cs="Arial" w:eastAsia="Arial" w:hAnsi="Arial"/>
                <w:sz w:val="10"/>
                <w:szCs w:val="10"/>
                <w:color w:val="auto"/>
              </w:rPr>
              <w:t>1.3</w:t>
            </w:r>
          </w:p>
        </w:tc>
        <w:tc>
          <w:tcPr>
            <w:tcW w:w="600" w:type="dxa"/>
            <w:vAlign w:val="bottom"/>
          </w:tcPr>
          <w:p>
            <w:pPr>
              <w:spacing w:after="0"/>
              <w:rPr>
                <w:sz w:val="9"/>
                <w:szCs w:val="9"/>
                <w:color w:val="auto"/>
              </w:rPr>
            </w:pPr>
          </w:p>
        </w:tc>
        <w:tc>
          <w:tcPr>
            <w:tcW w:w="88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87%</w:t>
            </w:r>
          </w:p>
        </w:tc>
        <w:tc>
          <w:tcPr>
            <w:tcW w:w="0" w:type="dxa"/>
            <w:vAlign w:val="bottom"/>
          </w:tcPr>
          <w:p>
            <w:pPr>
              <w:spacing w:after="0"/>
              <w:rPr>
                <w:sz w:val="1"/>
                <w:szCs w:val="1"/>
                <w:color w:val="auto"/>
              </w:rPr>
            </w:pPr>
          </w:p>
        </w:tc>
      </w:tr>
      <w:tr>
        <w:trPr>
          <w:trHeight w:val="113"/>
        </w:trPr>
        <w:tc>
          <w:tcPr>
            <w:tcW w:w="396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Gain (loss) from financing activities</w:t>
            </w:r>
          </w:p>
        </w:tc>
        <w:tc>
          <w:tcPr>
            <w:tcW w:w="112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(1.4)</w:t>
            </w: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320" w:type="dxa"/>
            <w:vAlign w:val="bottom"/>
            <w:gridSpan w:val="2"/>
            <w:shd w:val="clear" w:color="auto" w:fill="CFF0FC"/>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740" w:type="dxa"/>
            <w:vAlign w:val="bottom"/>
            <w:gridSpan w:val="2"/>
            <w:shd w:val="clear" w:color="auto" w:fill="CFF0FC"/>
          </w:tcPr>
          <w:p>
            <w:pPr>
              <w:jc w:val="right"/>
              <w:ind w:right="580"/>
              <w:spacing w:after="0" w:line="113" w:lineRule="exact"/>
              <w:rPr>
                <w:sz w:val="20"/>
                <w:szCs w:val="20"/>
                <w:color w:val="auto"/>
              </w:rPr>
            </w:pPr>
            <w:r>
              <w:rPr>
                <w:rFonts w:ascii="Arial" w:cs="Arial" w:eastAsia="Arial" w:hAnsi="Arial"/>
                <w:sz w:val="10"/>
                <w:szCs w:val="10"/>
                <w:color w:val="auto"/>
              </w:rPr>
              <w:t>(1.4)</w:t>
            </w:r>
          </w:p>
        </w:tc>
        <w:tc>
          <w:tcPr>
            <w:tcW w:w="880" w:type="dxa"/>
            <w:vAlign w:val="bottom"/>
            <w:gridSpan w:val="2"/>
            <w:shd w:val="clear" w:color="auto" w:fill="CFF0FC"/>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3960" w:type="dxa"/>
            <w:vAlign w:val="bottom"/>
          </w:tcPr>
          <w:p>
            <w:pPr>
              <w:spacing w:after="0" w:line="113" w:lineRule="exact"/>
              <w:rPr>
                <w:sz w:val="20"/>
                <w:szCs w:val="20"/>
                <w:color w:val="auto"/>
              </w:rPr>
            </w:pPr>
            <w:r>
              <w:rPr>
                <w:rFonts w:ascii="Arial" w:cs="Arial" w:eastAsia="Arial" w:hAnsi="Arial"/>
                <w:sz w:val="10"/>
                <w:szCs w:val="10"/>
                <w:color w:val="auto"/>
              </w:rPr>
              <w:t>Change in contingent considerations</w:t>
            </w:r>
          </w:p>
        </w:tc>
        <w:tc>
          <w:tcPr>
            <w:tcW w:w="1120" w:type="dxa"/>
            <w:vAlign w:val="bottom"/>
          </w:tcPr>
          <w:p>
            <w:pPr>
              <w:spacing w:after="0"/>
              <w:rPr>
                <w:sz w:val="9"/>
                <w:szCs w:val="9"/>
                <w:color w:val="auto"/>
              </w:rPr>
            </w:pPr>
          </w:p>
        </w:tc>
        <w:tc>
          <w:tcPr>
            <w:tcW w:w="84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(9.7)</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20" w:type="dxa"/>
            <w:vAlign w:val="bottom"/>
            <w:gridSpan w:val="2"/>
          </w:tcPr>
          <w:p>
            <w:pPr>
              <w:jc w:val="right"/>
              <w:ind w:right="160"/>
              <w:spacing w:after="0" w:line="113" w:lineRule="exact"/>
              <w:rPr>
                <w:sz w:val="20"/>
                <w:szCs w:val="20"/>
                <w:color w:val="auto"/>
              </w:rPr>
            </w:pPr>
            <w:r>
              <w:rPr>
                <w:rFonts w:ascii="Arial" w:cs="Arial" w:eastAsia="Arial" w:hAnsi="Arial"/>
                <w:sz w:val="10"/>
                <w:szCs w:val="10"/>
                <w:color w:val="auto"/>
              </w:rPr>
              <w:t>(56.1)</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jc w:val="right"/>
              <w:spacing w:after="0" w:line="113" w:lineRule="exact"/>
              <w:rPr>
                <w:sz w:val="20"/>
                <w:szCs w:val="20"/>
                <w:color w:val="auto"/>
              </w:rPr>
            </w:pPr>
            <w:r>
              <w:rPr>
                <w:rFonts w:ascii="Arial" w:cs="Arial" w:eastAsia="Arial" w:hAnsi="Arial"/>
                <w:sz w:val="10"/>
                <w:szCs w:val="10"/>
                <w:color w:val="auto"/>
              </w:rPr>
              <w:t>46.4</w:t>
            </w:r>
          </w:p>
        </w:tc>
        <w:tc>
          <w:tcPr>
            <w:tcW w:w="600" w:type="dxa"/>
            <w:vAlign w:val="bottom"/>
          </w:tcPr>
          <w:p>
            <w:pPr>
              <w:spacing w:after="0"/>
              <w:rPr>
                <w:sz w:val="9"/>
                <w:szCs w:val="9"/>
                <w:color w:val="auto"/>
              </w:rPr>
            </w:pPr>
          </w:p>
        </w:tc>
        <w:tc>
          <w:tcPr>
            <w:tcW w:w="88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83%</w:t>
            </w:r>
          </w:p>
        </w:tc>
        <w:tc>
          <w:tcPr>
            <w:tcW w:w="0" w:type="dxa"/>
            <w:vAlign w:val="bottom"/>
          </w:tcPr>
          <w:p>
            <w:pPr>
              <w:spacing w:after="0"/>
              <w:rPr>
                <w:sz w:val="1"/>
                <w:szCs w:val="1"/>
                <w:color w:val="auto"/>
              </w:rPr>
            </w:pPr>
          </w:p>
        </w:tc>
      </w:tr>
      <w:tr>
        <w:trPr>
          <w:trHeight w:val="102"/>
        </w:trPr>
        <w:tc>
          <w:tcPr>
            <w:tcW w:w="396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Net income (loss)</w:t>
            </w:r>
          </w:p>
        </w:tc>
        <w:tc>
          <w:tcPr>
            <w:tcW w:w="1120" w:type="dxa"/>
            <w:vAlign w:val="bottom"/>
            <w:tcBorders>
              <w:top w:val="single" w:sz="8" w:color="auto"/>
            </w:tcBorders>
            <w:shd w:val="clear" w:color="auto" w:fill="CFF0FC"/>
          </w:tcPr>
          <w:p>
            <w:pPr>
              <w:spacing w:after="0"/>
              <w:rPr>
                <w:sz w:val="8"/>
                <w:szCs w:val="8"/>
                <w:color w:val="auto"/>
              </w:rPr>
            </w:pPr>
          </w:p>
        </w:tc>
        <w:tc>
          <w:tcPr>
            <w:tcW w:w="6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(19.0)</w:t>
            </w:r>
          </w:p>
        </w:tc>
        <w:tc>
          <w:tcPr>
            <w:tcW w:w="18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CFF0FC"/>
            </w:tcBorders>
            <w:shd w:val="clear" w:color="auto" w:fill="CFF0FC"/>
          </w:tcPr>
          <w:p>
            <w:pPr>
              <w:spacing w:after="0"/>
              <w:rPr>
                <w:sz w:val="8"/>
                <w:szCs w:val="8"/>
                <w:color w:val="auto"/>
              </w:rPr>
            </w:pPr>
          </w:p>
        </w:tc>
        <w:tc>
          <w:tcPr>
            <w:tcW w:w="660" w:type="dxa"/>
            <w:vAlign w:val="bottom"/>
            <w:tcBorders>
              <w:top w:val="single" w:sz="8" w:color="auto"/>
            </w:tcBorders>
            <w:shd w:val="clear" w:color="auto" w:fill="CFF0FC"/>
          </w:tcPr>
          <w:p>
            <w:pPr>
              <w:spacing w:after="0"/>
              <w:rPr>
                <w:sz w:val="8"/>
                <w:szCs w:val="8"/>
                <w:color w:val="auto"/>
              </w:rPr>
            </w:pPr>
          </w:p>
        </w:tc>
        <w:tc>
          <w:tcPr>
            <w:tcW w:w="11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56.0</w:t>
            </w:r>
          </w:p>
        </w:tc>
        <w:tc>
          <w:tcPr>
            <w:tcW w:w="20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660" w:type="dxa"/>
            <w:vAlign w:val="bottom"/>
            <w:tcBorders>
              <w:top w:val="single" w:sz="8" w:color="auto"/>
            </w:tcBorders>
            <w:shd w:val="clear" w:color="auto" w:fill="CFF0FC"/>
          </w:tcPr>
          <w:p>
            <w:pPr>
              <w:spacing w:after="0"/>
              <w:rPr>
                <w:sz w:val="8"/>
                <w:szCs w:val="8"/>
                <w:color w:val="auto"/>
              </w:rPr>
            </w:pPr>
          </w:p>
        </w:tc>
        <w:tc>
          <w:tcPr>
            <w:tcW w:w="114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(75.0)</w:t>
            </w:r>
          </w:p>
        </w:tc>
        <w:tc>
          <w:tcPr>
            <w:tcW w:w="600" w:type="dxa"/>
            <w:vAlign w:val="bottom"/>
            <w:tcBorders>
              <w:top w:val="single" w:sz="8" w:color="CFF0FC"/>
            </w:tcBorders>
            <w:shd w:val="clear" w:color="auto" w:fill="CFF0FC"/>
          </w:tcPr>
          <w:p>
            <w:pPr>
              <w:spacing w:after="0"/>
              <w:rPr>
                <w:sz w:val="8"/>
                <w:szCs w:val="8"/>
                <w:color w:val="auto"/>
              </w:rPr>
            </w:pPr>
          </w:p>
        </w:tc>
        <w:tc>
          <w:tcPr>
            <w:tcW w:w="880" w:type="dxa"/>
            <w:vAlign w:val="bottom"/>
            <w:tcBorders>
              <w:top w:val="single" w:sz="8" w:color="CFF0FC"/>
            </w:tcBorders>
            <w:gridSpan w:val="2"/>
            <w:shd w:val="clear" w:color="auto" w:fill="CFF0FC"/>
          </w:tcPr>
          <w:p>
            <w:pPr>
              <w:jc w:val="right"/>
              <w:ind w:right="20"/>
              <w:spacing w:after="0" w:line="103" w:lineRule="exact"/>
              <w:rPr>
                <w:sz w:val="20"/>
                <w:szCs w:val="20"/>
                <w:color w:val="auto"/>
              </w:rPr>
            </w:pPr>
            <w:r>
              <w:rPr>
                <w:rFonts w:ascii="Arial" w:cs="Arial" w:eastAsia="Arial" w:hAnsi="Arial"/>
                <w:sz w:val="10"/>
                <w:szCs w:val="10"/>
                <w:color w:val="auto"/>
              </w:rPr>
              <w:t>(134%)</w:t>
            </w:r>
          </w:p>
        </w:tc>
        <w:tc>
          <w:tcPr>
            <w:tcW w:w="0" w:type="dxa"/>
            <w:vAlign w:val="bottom"/>
          </w:tcPr>
          <w:p>
            <w:pPr>
              <w:spacing w:after="0"/>
              <w:rPr>
                <w:sz w:val="1"/>
                <w:szCs w:val="1"/>
                <w:color w:val="auto"/>
              </w:rPr>
            </w:pPr>
          </w:p>
        </w:tc>
      </w:tr>
      <w:tr>
        <w:trPr>
          <w:trHeight w:val="113"/>
        </w:trPr>
        <w:tc>
          <w:tcPr>
            <w:tcW w:w="3960" w:type="dxa"/>
            <w:vAlign w:val="bottom"/>
          </w:tcPr>
          <w:p>
            <w:pPr>
              <w:spacing w:after="0" w:line="113" w:lineRule="exact"/>
              <w:rPr>
                <w:sz w:val="20"/>
                <w:szCs w:val="20"/>
                <w:color w:val="auto"/>
              </w:rPr>
            </w:pPr>
            <w:r>
              <w:rPr>
                <w:rFonts w:ascii="Arial" w:cs="Arial" w:eastAsia="Arial" w:hAnsi="Arial"/>
                <w:sz w:val="10"/>
                <w:szCs w:val="10"/>
                <w:color w:val="auto"/>
              </w:rPr>
              <w:t>Less: Net income (loss) attributable to noncontrolling interests</w:t>
            </w:r>
          </w:p>
        </w:tc>
        <w:tc>
          <w:tcPr>
            <w:tcW w:w="11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11.4</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tcPr>
          <w:p>
            <w:pPr>
              <w:jc w:val="right"/>
              <w:spacing w:after="0" w:line="113" w:lineRule="exact"/>
              <w:rPr>
                <w:sz w:val="20"/>
                <w:szCs w:val="20"/>
                <w:color w:val="auto"/>
              </w:rPr>
            </w:pPr>
            <w:r>
              <w:rPr>
                <w:rFonts w:ascii="Arial" w:cs="Arial" w:eastAsia="Arial" w:hAnsi="Arial"/>
                <w:sz w:val="10"/>
                <w:szCs w:val="10"/>
                <w:color w:val="auto"/>
              </w:rPr>
              <w:t>13.2</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740" w:type="dxa"/>
            <w:vAlign w:val="bottom"/>
            <w:gridSpan w:val="2"/>
          </w:tcPr>
          <w:p>
            <w:pPr>
              <w:jc w:val="right"/>
              <w:ind w:right="580"/>
              <w:spacing w:after="0" w:line="113" w:lineRule="exact"/>
              <w:rPr>
                <w:sz w:val="20"/>
                <w:szCs w:val="20"/>
                <w:color w:val="auto"/>
              </w:rPr>
            </w:pPr>
            <w:r>
              <w:rPr>
                <w:rFonts w:ascii="Arial" w:cs="Arial" w:eastAsia="Arial" w:hAnsi="Arial"/>
                <w:sz w:val="10"/>
                <w:szCs w:val="10"/>
                <w:color w:val="auto"/>
              </w:rPr>
              <w:t>(1.8)</w:t>
            </w:r>
          </w:p>
        </w:tc>
        <w:tc>
          <w:tcPr>
            <w:tcW w:w="88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22"/>
        </w:trPr>
        <w:tc>
          <w:tcPr>
            <w:tcW w:w="3960" w:type="dxa"/>
            <w:vAlign w:val="bottom"/>
            <w:tcBorders>
              <w:top w:val="single" w:sz="8" w:color="CFF0FC"/>
              <w:bottom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Net income (loss) attributable to Targa Resources Partners LP</w:t>
            </w:r>
          </w:p>
        </w:tc>
        <w:tc>
          <w:tcPr>
            <w:tcW w:w="1120" w:type="dxa"/>
            <w:vAlign w:val="bottom"/>
            <w:tcBorders>
              <w:top w:val="single" w:sz="8" w:color="auto"/>
              <w:bottom w:val="single" w:sz="8" w:color="auto"/>
            </w:tcBorders>
            <w:shd w:val="clear" w:color="auto" w:fill="CFF0FC"/>
          </w:tcPr>
          <w:p>
            <w:pPr>
              <w:jc w:val="right"/>
              <w:ind w:right="1049"/>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(30.4)</w:t>
            </w:r>
          </w:p>
        </w:tc>
        <w:tc>
          <w:tcPr>
            <w:tcW w:w="180" w:type="dxa"/>
            <w:vAlign w:val="bottom"/>
            <w:tcBorders>
              <w:top w:val="single" w:sz="8" w:color="CFF0FC"/>
              <w:bottom w:val="single" w:sz="8" w:color="CFF0FC"/>
            </w:tcBorders>
            <w:shd w:val="clear" w:color="auto" w:fill="CFF0FC"/>
          </w:tcPr>
          <w:p>
            <w:pPr>
              <w:spacing w:after="0"/>
              <w:rPr>
                <w:sz w:val="10"/>
                <w:szCs w:val="10"/>
                <w:color w:val="auto"/>
              </w:rPr>
            </w:pPr>
          </w:p>
        </w:tc>
        <w:tc>
          <w:tcPr>
            <w:tcW w:w="160" w:type="dxa"/>
            <w:vAlign w:val="bottom"/>
            <w:tcBorders>
              <w:top w:val="single" w:sz="8" w:color="CFF0FC"/>
              <w:bottom w:val="single" w:sz="8" w:color="CFF0FC"/>
            </w:tcBorders>
            <w:shd w:val="clear" w:color="auto" w:fill="CFF0FC"/>
          </w:tcPr>
          <w:p>
            <w:pPr>
              <w:spacing w:after="0"/>
              <w:rPr>
                <w:sz w:val="10"/>
                <w:szCs w:val="10"/>
                <w:color w:val="auto"/>
              </w:rPr>
            </w:pPr>
          </w:p>
        </w:tc>
        <w:tc>
          <w:tcPr>
            <w:tcW w:w="66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42.8</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CFF0FC"/>
              <w:bottom w:val="single" w:sz="8" w:color="CFF0FC"/>
            </w:tcBorders>
            <w:shd w:val="clear" w:color="auto" w:fill="CFF0FC"/>
          </w:tcPr>
          <w:p>
            <w:pPr>
              <w:spacing w:after="0"/>
              <w:rPr>
                <w:sz w:val="10"/>
                <w:szCs w:val="10"/>
                <w:color w:val="auto"/>
              </w:rPr>
            </w:pPr>
          </w:p>
        </w:tc>
        <w:tc>
          <w:tcPr>
            <w:tcW w:w="66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Arial" w:cs="Arial" w:eastAsia="Arial" w:hAnsi="Arial"/>
                <w:sz w:val="5"/>
                <w:szCs w:val="5"/>
                <w:color w:val="auto"/>
                <w:w w:val="70"/>
              </w:rPr>
              <w:t>$</w:t>
            </w:r>
          </w:p>
        </w:tc>
        <w:tc>
          <w:tcPr>
            <w:tcW w:w="114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(73.2)</w:t>
            </w:r>
          </w:p>
        </w:tc>
        <w:tc>
          <w:tcPr>
            <w:tcW w:w="600" w:type="dxa"/>
            <w:vAlign w:val="bottom"/>
            <w:tcBorders>
              <w:top w:val="single" w:sz="8" w:color="CFF0FC"/>
              <w:bottom w:val="single" w:sz="8" w:color="CFF0FC"/>
            </w:tcBorders>
            <w:shd w:val="clear" w:color="auto" w:fill="CFF0FC"/>
          </w:tcPr>
          <w:p>
            <w:pPr>
              <w:spacing w:after="0"/>
              <w:rPr>
                <w:sz w:val="10"/>
                <w:szCs w:val="10"/>
                <w:color w:val="auto"/>
              </w:rPr>
            </w:pPr>
          </w:p>
        </w:tc>
        <w:tc>
          <w:tcPr>
            <w:tcW w:w="880" w:type="dxa"/>
            <w:vAlign w:val="bottom"/>
            <w:tcBorders>
              <w:top w:val="single" w:sz="8" w:color="CFF0FC"/>
              <w:bottom w:val="single" w:sz="8" w:color="CFF0FC"/>
            </w:tcBorders>
            <w:gridSpan w:val="2"/>
            <w:shd w:val="clear" w:color="auto" w:fill="CFF0FC"/>
          </w:tcPr>
          <w:p>
            <w:pPr>
              <w:jc w:val="right"/>
              <w:ind w:right="20"/>
              <w:spacing w:after="0" w:line="103" w:lineRule="exact"/>
              <w:rPr>
                <w:sz w:val="20"/>
                <w:szCs w:val="20"/>
                <w:color w:val="auto"/>
              </w:rPr>
            </w:pPr>
            <w:r>
              <w:rPr>
                <w:rFonts w:ascii="Arial" w:cs="Arial" w:eastAsia="Arial" w:hAnsi="Arial"/>
                <w:sz w:val="10"/>
                <w:szCs w:val="10"/>
                <w:color w:val="auto"/>
              </w:rPr>
              <w:t>(171%)</w:t>
            </w:r>
          </w:p>
        </w:tc>
        <w:tc>
          <w:tcPr>
            <w:tcW w:w="0" w:type="dxa"/>
            <w:vAlign w:val="bottom"/>
          </w:tcPr>
          <w:p>
            <w:pPr>
              <w:spacing w:after="0"/>
              <w:rPr>
                <w:sz w:val="1"/>
                <w:szCs w:val="1"/>
                <w:color w:val="auto"/>
              </w:rPr>
            </w:pPr>
          </w:p>
        </w:tc>
      </w:tr>
      <w:tr>
        <w:trPr>
          <w:trHeight w:val="101"/>
        </w:trPr>
        <w:tc>
          <w:tcPr>
            <w:tcW w:w="3960" w:type="dxa"/>
            <w:vAlign w:val="bottom"/>
          </w:tcPr>
          <w:p>
            <w:pPr>
              <w:spacing w:after="0" w:line="102" w:lineRule="exact"/>
              <w:rPr>
                <w:sz w:val="20"/>
                <w:szCs w:val="20"/>
                <w:color w:val="auto"/>
              </w:rPr>
            </w:pPr>
            <w:r>
              <w:rPr>
                <w:rFonts w:ascii="Arial" w:cs="Arial" w:eastAsia="Arial" w:hAnsi="Arial"/>
                <w:sz w:val="10"/>
                <w:szCs w:val="10"/>
                <w:b w:val="1"/>
                <w:bCs w:val="1"/>
                <w:color w:val="auto"/>
              </w:rPr>
              <w:t>Financial data:</w:t>
            </w: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96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Adjusted EBITDA (1)</w:t>
            </w:r>
          </w:p>
        </w:tc>
        <w:tc>
          <w:tcPr>
            <w:tcW w:w="1120" w:type="dxa"/>
            <w:vAlign w:val="bottom"/>
            <w:shd w:val="clear" w:color="auto" w:fill="CFF0FC"/>
          </w:tcPr>
          <w:p>
            <w:pPr>
              <w:jc w:val="right"/>
              <w:ind w:right="1049"/>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300.8</w:t>
            </w:r>
          </w:p>
        </w:tc>
        <w:tc>
          <w:tcPr>
            <w:tcW w:w="180" w:type="dxa"/>
            <w:vAlign w:val="bottom"/>
            <w:shd w:val="clear" w:color="auto" w:fill="CFF0FC"/>
          </w:tcPr>
          <w:p>
            <w:pPr>
              <w:spacing w:after="0"/>
              <w:rPr>
                <w:sz w:val="9"/>
                <w:szCs w:val="9"/>
                <w:color w:val="auto"/>
              </w:rPr>
            </w:pPr>
          </w:p>
        </w:tc>
        <w:tc>
          <w:tcPr>
            <w:tcW w:w="820" w:type="dxa"/>
            <w:vAlign w:val="bottom"/>
            <w:gridSpan w:val="2"/>
            <w:shd w:val="clear" w:color="auto" w:fill="CFF0FC"/>
          </w:tcPr>
          <w:p>
            <w:pPr>
              <w:jc w:val="right"/>
              <w:ind w:right="595"/>
              <w:spacing w:after="0" w:line="113" w:lineRule="exact"/>
              <w:rPr>
                <w:sz w:val="20"/>
                <w:szCs w:val="20"/>
                <w:color w:val="auto"/>
              </w:rPr>
            </w:pPr>
            <w:r>
              <w:rPr>
                <w:rFonts w:ascii="Arial" w:cs="Arial" w:eastAsia="Arial" w:hAnsi="Arial"/>
                <w:sz w:val="10"/>
                <w:szCs w:val="10"/>
                <w:color w:val="auto"/>
              </w:rPr>
              <w:t>$</w:t>
            </w:r>
          </w:p>
        </w:tc>
        <w:tc>
          <w:tcPr>
            <w:tcW w:w="11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297.5</w:t>
            </w:r>
          </w:p>
        </w:tc>
        <w:tc>
          <w:tcPr>
            <w:tcW w:w="20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595"/>
              <w:spacing w:after="0" w:line="113" w:lineRule="exact"/>
              <w:rPr>
                <w:sz w:val="20"/>
                <w:szCs w:val="20"/>
                <w:color w:val="auto"/>
              </w:rPr>
            </w:pPr>
            <w:r>
              <w:rPr>
                <w:rFonts w:ascii="Arial" w:cs="Arial" w:eastAsia="Arial" w:hAnsi="Arial"/>
                <w:sz w:val="10"/>
                <w:szCs w:val="10"/>
                <w:color w:val="auto"/>
              </w:rPr>
              <w:t>$</w:t>
            </w:r>
          </w:p>
        </w:tc>
        <w:tc>
          <w:tcPr>
            <w:tcW w:w="11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3.3</w:t>
            </w:r>
          </w:p>
        </w:tc>
        <w:tc>
          <w:tcPr>
            <w:tcW w:w="6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13"/>
        </w:trPr>
        <w:tc>
          <w:tcPr>
            <w:tcW w:w="3960" w:type="dxa"/>
            <w:vAlign w:val="bottom"/>
          </w:tcPr>
          <w:p>
            <w:pPr>
              <w:spacing w:after="0" w:line="113" w:lineRule="exact"/>
              <w:rPr>
                <w:sz w:val="20"/>
                <w:szCs w:val="20"/>
                <w:color w:val="auto"/>
              </w:rPr>
            </w:pPr>
            <w:r>
              <w:rPr>
                <w:rFonts w:ascii="Arial" w:cs="Arial" w:eastAsia="Arial" w:hAnsi="Arial"/>
                <w:sz w:val="10"/>
                <w:szCs w:val="10"/>
                <w:color w:val="auto"/>
              </w:rPr>
              <w:t>Growth capital expenditures (2)</w:t>
            </w:r>
          </w:p>
        </w:tc>
        <w:tc>
          <w:tcPr>
            <w:tcW w:w="11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870.0</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tcPr>
          <w:p>
            <w:pPr>
              <w:jc w:val="right"/>
              <w:spacing w:after="0" w:line="113" w:lineRule="exact"/>
              <w:rPr>
                <w:sz w:val="20"/>
                <w:szCs w:val="20"/>
                <w:color w:val="auto"/>
              </w:rPr>
            </w:pPr>
            <w:r>
              <w:rPr>
                <w:rFonts w:ascii="Arial" w:cs="Arial" w:eastAsia="Arial" w:hAnsi="Arial"/>
                <w:sz w:val="10"/>
                <w:szCs w:val="10"/>
                <w:color w:val="auto"/>
              </w:rPr>
              <w:t>535.6</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jc w:val="right"/>
              <w:spacing w:after="0" w:line="113" w:lineRule="exact"/>
              <w:rPr>
                <w:sz w:val="20"/>
                <w:szCs w:val="20"/>
                <w:color w:val="auto"/>
              </w:rPr>
            </w:pPr>
            <w:r>
              <w:rPr>
                <w:rFonts w:ascii="Arial" w:cs="Arial" w:eastAsia="Arial" w:hAnsi="Arial"/>
                <w:sz w:val="10"/>
                <w:szCs w:val="10"/>
                <w:color w:val="auto"/>
              </w:rPr>
              <w:t>334.4</w:t>
            </w:r>
          </w:p>
        </w:tc>
        <w:tc>
          <w:tcPr>
            <w:tcW w:w="600" w:type="dxa"/>
            <w:vAlign w:val="bottom"/>
          </w:tcPr>
          <w:p>
            <w:pPr>
              <w:spacing w:after="0"/>
              <w:rPr>
                <w:sz w:val="9"/>
                <w:szCs w:val="9"/>
                <w:color w:val="auto"/>
              </w:rPr>
            </w:pPr>
          </w:p>
        </w:tc>
        <w:tc>
          <w:tcPr>
            <w:tcW w:w="88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62%</w:t>
            </w:r>
          </w:p>
        </w:tc>
        <w:tc>
          <w:tcPr>
            <w:tcW w:w="0" w:type="dxa"/>
            <w:vAlign w:val="bottom"/>
          </w:tcPr>
          <w:p>
            <w:pPr>
              <w:spacing w:after="0"/>
              <w:rPr>
                <w:sz w:val="1"/>
                <w:szCs w:val="1"/>
                <w:color w:val="auto"/>
              </w:rPr>
            </w:pPr>
          </w:p>
        </w:tc>
      </w:tr>
      <w:tr>
        <w:trPr>
          <w:trHeight w:val="113"/>
        </w:trPr>
        <w:tc>
          <w:tcPr>
            <w:tcW w:w="396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Maintenance capital expenditures (3)</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35.6</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1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22.4</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1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13.2</w:t>
            </w:r>
          </w:p>
        </w:tc>
        <w:tc>
          <w:tcPr>
            <w:tcW w:w="6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121285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12850" cy="5715"/>
                    </a:xfrm>
                    <a:prstGeom prst="rect">
                      <a:avLst/>
                    </a:prstGeom>
                    <a:noFill/>
                  </pic:spPr>
                </pic:pic>
              </a:graphicData>
            </a:graphic>
          </wp:anchor>
        </w:drawing>
      </w:r>
    </w:p>
    <w:p>
      <w:pPr>
        <w:spacing w:after="0" w:line="99" w:lineRule="exact"/>
        <w:rPr>
          <w:sz w:val="20"/>
          <w:szCs w:val="20"/>
          <w:color w:val="auto"/>
        </w:rPr>
      </w:pPr>
    </w:p>
    <w:p>
      <w:pPr>
        <w:ind w:left="525" w:hanging="525"/>
        <w:spacing w:after="0"/>
        <w:tabs>
          <w:tab w:leader="none" w:pos="525" w:val="left"/>
        </w:tabs>
        <w:numPr>
          <w:ilvl w:val="0"/>
          <w:numId w:val="25"/>
        </w:numPr>
        <w:rPr>
          <w:rFonts w:ascii="Arial" w:cs="Arial" w:eastAsia="Arial" w:hAnsi="Arial"/>
          <w:sz w:val="10"/>
          <w:szCs w:val="10"/>
          <w:color w:val="auto"/>
        </w:rPr>
      </w:pPr>
      <w:r>
        <w:rPr>
          <w:rFonts w:ascii="Arial" w:cs="Arial" w:eastAsia="Arial" w:hAnsi="Arial"/>
          <w:sz w:val="10"/>
          <w:szCs w:val="10"/>
          <w:color w:val="auto"/>
        </w:rPr>
        <w:t>Gross margin, operating margin, and Adjusted EBITDA are non-GAAP financial measures and are discussed under “Management’s Discussion and Analysis of Financial Condition and Results of Operations – How We Evaluate Our Operations.”</w:t>
      </w:r>
    </w:p>
    <w:p>
      <w:pPr>
        <w:spacing w:after="0" w:line="16" w:lineRule="exact"/>
        <w:rPr>
          <w:rFonts w:ascii="Arial" w:cs="Arial" w:eastAsia="Arial" w:hAnsi="Arial"/>
          <w:sz w:val="10"/>
          <w:szCs w:val="10"/>
          <w:color w:val="auto"/>
        </w:rPr>
      </w:pPr>
    </w:p>
    <w:p>
      <w:pPr>
        <w:ind w:left="525" w:right="20" w:hanging="525"/>
        <w:spacing w:after="0" w:line="241" w:lineRule="auto"/>
        <w:tabs>
          <w:tab w:leader="none" w:pos="525" w:val="left"/>
        </w:tabs>
        <w:numPr>
          <w:ilvl w:val="0"/>
          <w:numId w:val="25"/>
        </w:numPr>
        <w:rPr>
          <w:rFonts w:ascii="Arial" w:cs="Arial" w:eastAsia="Arial" w:hAnsi="Arial"/>
          <w:sz w:val="10"/>
          <w:szCs w:val="10"/>
          <w:color w:val="auto"/>
        </w:rPr>
      </w:pPr>
      <w:r>
        <w:rPr>
          <w:rFonts w:ascii="Arial" w:cs="Arial" w:eastAsia="Arial" w:hAnsi="Arial"/>
          <w:sz w:val="10"/>
          <w:szCs w:val="10"/>
          <w:color w:val="auto"/>
        </w:rPr>
        <w:t>Growth capital expenditures, net of contributions from noncontrolling interest, were $752.5 million and $446.8 million for the three months ended March 31, 2019 and 2018. Net contributions to investments in unconsolidated affiliates were $29.1 million and $32.4 million for the three months ended March 31, 2019 and 2018.</w:t>
      </w:r>
    </w:p>
    <w:p>
      <w:pPr>
        <w:spacing w:after="0" w:line="4" w:lineRule="exact"/>
        <w:rPr>
          <w:rFonts w:ascii="Arial" w:cs="Arial" w:eastAsia="Arial" w:hAnsi="Arial"/>
          <w:sz w:val="10"/>
          <w:szCs w:val="10"/>
          <w:color w:val="auto"/>
        </w:rPr>
      </w:pPr>
    </w:p>
    <w:p>
      <w:pPr>
        <w:ind w:left="525" w:hanging="525"/>
        <w:spacing w:after="0"/>
        <w:tabs>
          <w:tab w:leader="none" w:pos="525" w:val="left"/>
        </w:tabs>
        <w:numPr>
          <w:ilvl w:val="0"/>
          <w:numId w:val="25"/>
        </w:numPr>
        <w:rPr>
          <w:rFonts w:ascii="Arial" w:cs="Arial" w:eastAsia="Arial" w:hAnsi="Arial"/>
          <w:sz w:val="10"/>
          <w:szCs w:val="10"/>
          <w:color w:val="auto"/>
        </w:rPr>
      </w:pPr>
      <w:r>
        <w:rPr>
          <w:rFonts w:ascii="Arial" w:cs="Arial" w:eastAsia="Arial" w:hAnsi="Arial"/>
          <w:sz w:val="10"/>
          <w:szCs w:val="10"/>
          <w:color w:val="auto"/>
        </w:rPr>
        <w:t>Maintenance capital expenditures, net of contributions from noncontrolling interests, were $34.4 million and $21.9 million for the three months ended March 31, 2019 and 2018.</w:t>
      </w:r>
    </w:p>
    <w:p>
      <w:pPr>
        <w:spacing w:after="0" w:line="17" w:lineRule="exact"/>
        <w:rPr>
          <w:sz w:val="20"/>
          <w:szCs w:val="20"/>
          <w:color w:val="auto"/>
        </w:rPr>
      </w:pPr>
    </w:p>
    <w:p>
      <w:pPr>
        <w:ind w:left="5"/>
        <w:spacing w:after="0"/>
        <w:tabs>
          <w:tab w:leader="none" w:pos="504" w:val="left"/>
        </w:tabs>
        <w:rPr>
          <w:sz w:val="20"/>
          <w:szCs w:val="20"/>
          <w:color w:val="auto"/>
        </w:rPr>
      </w:pPr>
      <w:r>
        <w:rPr>
          <w:rFonts w:ascii="Arial" w:cs="Arial" w:eastAsia="Arial" w:hAnsi="Arial"/>
          <w:sz w:val="10"/>
          <w:szCs w:val="10"/>
          <w:color w:val="auto"/>
        </w:rPr>
        <w:t>NM</w:t>
      </w:r>
      <w:r>
        <w:rPr>
          <w:sz w:val="20"/>
          <w:szCs w:val="20"/>
          <w:color w:val="auto"/>
        </w:rPr>
        <w:tab/>
      </w:r>
      <w:r>
        <w:rPr>
          <w:rFonts w:ascii="Arial" w:cs="Arial" w:eastAsia="Arial" w:hAnsi="Arial"/>
          <w:sz w:val="10"/>
          <w:szCs w:val="10"/>
          <w:color w:val="auto"/>
        </w:rPr>
        <w:t>Due to a low denominator, the noted percentage change is disproportionately high and as a result, considered not meaningful.</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3"/>
          <w:szCs w:val="13"/>
          <w:i w:val="1"/>
          <w:iCs w:val="1"/>
          <w:color w:val="auto"/>
        </w:rPr>
        <w:t>Three Months Ended March 31, 2019 Compared to Three Months Ended March 31, 2018</w:t>
      </w:r>
    </w:p>
    <w:p>
      <w:pPr>
        <w:spacing w:after="0" w:line="152" w:lineRule="exact"/>
        <w:rPr>
          <w:sz w:val="20"/>
          <w:szCs w:val="20"/>
          <w:color w:val="auto"/>
        </w:rPr>
      </w:pPr>
    </w:p>
    <w:p>
      <w:pPr>
        <w:jc w:val="both"/>
        <w:ind w:left="5"/>
        <w:spacing w:after="0" w:line="248" w:lineRule="auto"/>
        <w:rPr>
          <w:sz w:val="20"/>
          <w:szCs w:val="20"/>
          <w:color w:val="auto"/>
        </w:rPr>
      </w:pPr>
      <w:r>
        <w:rPr>
          <w:rFonts w:ascii="Arial" w:cs="Arial" w:eastAsia="Arial" w:hAnsi="Arial"/>
          <w:sz w:val="13"/>
          <w:szCs w:val="13"/>
          <w:color w:val="auto"/>
        </w:rPr>
        <w:t>The decrease in commodity sales reflects lower NGL, natural gas and condensate prices ($437.8 million) and lower petroleum volumes due to the sale of certain petroleum logistics storage and terminaling facilities in the fourth quarter of 2018 ($40.5 million), partially offset by higher NGL and crude marketing volumes ($228.4 million) and the impact of hedges ($50.5 million). The increase in fee-based revenue was primarily due to higher gas processing and crude gathering fees.</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decrease in product purchases reflects decreased NGL, natural gas and condensate prices, partially offset by increases in volumes.</w:t>
      </w:r>
    </w:p>
    <w:p>
      <w:pPr>
        <w:spacing w:after="0" w:line="152" w:lineRule="exact"/>
        <w:rPr>
          <w:sz w:val="20"/>
          <w:szCs w:val="20"/>
          <w:color w:val="auto"/>
        </w:rPr>
      </w:pPr>
    </w:p>
    <w:p>
      <w:pPr>
        <w:jc w:val="both"/>
        <w:ind w:left="5" w:right="20"/>
        <w:spacing w:after="0" w:line="254" w:lineRule="auto"/>
        <w:rPr>
          <w:sz w:val="20"/>
          <w:szCs w:val="20"/>
          <w:color w:val="auto"/>
        </w:rPr>
      </w:pPr>
      <w:r>
        <w:rPr>
          <w:rFonts w:ascii="Arial" w:cs="Arial" w:eastAsia="Arial" w:hAnsi="Arial"/>
          <w:sz w:val="13"/>
          <w:szCs w:val="13"/>
          <w:color w:val="auto"/>
        </w:rPr>
        <w:t>The higher operating margin and gross margin in 2019 reflect increased segment margin results for Gathering and Processing and Logistics and Marketing. See “—Results of Operations—By Reportable Segment” for additional information regarding changes in operating margin and gross margin on a segment basis.</w:t>
      </w:r>
    </w:p>
    <w:p>
      <w:pPr>
        <w:spacing w:after="0" w:line="154" w:lineRule="exact"/>
        <w:rPr>
          <w:sz w:val="20"/>
          <w:szCs w:val="20"/>
          <w:color w:val="auto"/>
        </w:rPr>
      </w:pPr>
    </w:p>
    <w:p>
      <w:pPr>
        <w:jc w:val="both"/>
        <w:ind w:left="5" w:right="20"/>
        <w:spacing w:after="0" w:line="248" w:lineRule="auto"/>
        <w:rPr>
          <w:sz w:val="20"/>
          <w:szCs w:val="20"/>
          <w:color w:val="auto"/>
        </w:rPr>
      </w:pPr>
      <w:r>
        <w:rPr>
          <w:rFonts w:ascii="Arial" w:cs="Arial" w:eastAsia="Arial" w:hAnsi="Arial"/>
          <w:sz w:val="13"/>
          <w:szCs w:val="13"/>
          <w:color w:val="auto"/>
        </w:rPr>
        <w:t>Depreciation and amortization expense increased primarily due to higher depreciation related to major growth projects placed in service, including the Permian Basin Segment of Grand Prix, and additional processing plants and associated infrastructure in the Permian Basin. The increase is partially offset by lower depreciation for our downstream facilities, resulting from the sale of certain petroleum logistics storage and terminaling facilities in the fourth quarter of 2018.</w:t>
      </w:r>
    </w:p>
    <w:p>
      <w:pPr>
        <w:spacing w:after="0" w:line="139" w:lineRule="exact"/>
        <w:rPr>
          <w:sz w:val="20"/>
          <w:szCs w:val="20"/>
          <w:color w:val="auto"/>
        </w:rPr>
      </w:pPr>
    </w:p>
    <w:p>
      <w:pPr>
        <w:ind w:left="5"/>
        <w:spacing w:after="0"/>
        <w:rPr>
          <w:sz w:val="20"/>
          <w:szCs w:val="20"/>
          <w:color w:val="auto"/>
        </w:rPr>
      </w:pPr>
      <w:r>
        <w:rPr>
          <w:rFonts w:ascii="Arial" w:cs="Arial" w:eastAsia="Arial" w:hAnsi="Arial"/>
          <w:sz w:val="13"/>
          <w:szCs w:val="13"/>
          <w:color w:val="auto"/>
        </w:rPr>
        <w:t>General and administrative expense increased primarily due to higher compensation and benefits, including increased staffing levels, system costs and outside professional services.</w:t>
      </w:r>
    </w:p>
    <w:p>
      <w:pPr>
        <w:spacing w:after="0" w:line="30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32536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281" w:right="199" w:bottom="1440" w:gutter="0" w:footer="0" w:header="0"/>
        </w:sectPr>
      </w:pPr>
    </w:p>
    <w:bookmarkStart w:id="35" w:name="page36"/>
    <w:bookmarkEnd w:id="35"/>
    <w:p>
      <w:pPr>
        <w:jc w:val="both"/>
        <w:ind w:right="40"/>
        <w:spacing w:after="0" w:line="248" w:lineRule="auto"/>
        <w:rPr>
          <w:sz w:val="20"/>
          <w:szCs w:val="20"/>
          <w:color w:val="auto"/>
        </w:rPr>
      </w:pPr>
      <w:r>
        <w:rPr>
          <w:rFonts w:ascii="Arial" w:cs="Arial" w:eastAsia="Arial" w:hAnsi="Arial"/>
          <w:sz w:val="13"/>
          <w:szCs w:val="13"/>
          <w:color w:val="auto"/>
        </w:rPr>
        <w:t>Interest expense, net, increased due to a reduction of non-cash interest income related to the mandatorily redeemable interests, and higher average borrowings, partially offset by higher capitalized interest related to our major growth investments. During 2018, we recognized non-cash interest income resulting from a decrease in the estimated redemption value of the mandatorily redeemable interests, primarily attributable to the February 2018 amendments to such arrangements.</w:t>
      </w:r>
    </w:p>
    <w:p>
      <w:pPr>
        <w:spacing w:after="0" w:line="139" w:lineRule="exact"/>
        <w:rPr>
          <w:sz w:val="20"/>
          <w:szCs w:val="20"/>
          <w:color w:val="auto"/>
        </w:rPr>
      </w:pPr>
    </w:p>
    <w:p>
      <w:pPr>
        <w:jc w:val="both"/>
        <w:ind w:right="20"/>
        <w:spacing w:after="0" w:line="246" w:lineRule="auto"/>
        <w:rPr>
          <w:sz w:val="20"/>
          <w:szCs w:val="20"/>
          <w:color w:val="auto"/>
        </w:rPr>
      </w:pPr>
      <w:r>
        <w:rPr>
          <w:rFonts w:ascii="Arial" w:cs="Arial" w:eastAsia="Arial" w:hAnsi="Arial"/>
          <w:sz w:val="13"/>
          <w:szCs w:val="13"/>
          <w:color w:val="auto"/>
        </w:rPr>
        <w:t>During 2019, we recorded expense of $9.7 million resulting from an increase in the value of the Permian Acquisition contingent consideration liability. The increase in 2019 was primarily attributable to the elimination of discounting and an increase in actual gross margin through the end of the earn-out period. During 2018, we recorded expense of $56.1 million resulting primarily from the increase in fair value as of March 31, 2018 of the Permian Acquisition contingent consideration liability. The fair value change was primarily related to an increase in underlying forecasted volumes for the remainder of the earn-out period and a shorter term over which such projections are discounted.</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Results of Operations—By Reportable Segment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Our operating margins by reportable segment 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160" w:type="dxa"/>
            <w:vAlign w:val="bottom"/>
          </w:tcPr>
          <w:p>
            <w:pPr>
              <w:jc w:val="center"/>
              <w:ind w:left="253"/>
              <w:spacing w:after="0"/>
              <w:rPr>
                <w:sz w:val="20"/>
                <w:szCs w:val="20"/>
                <w:color w:val="auto"/>
              </w:rPr>
            </w:pPr>
            <w:r>
              <w:rPr>
                <w:rFonts w:ascii="Arial" w:cs="Arial" w:eastAsia="Arial" w:hAnsi="Arial"/>
                <w:sz w:val="10"/>
                <w:szCs w:val="10"/>
                <w:b w:val="1"/>
                <w:bCs w:val="1"/>
                <w:color w:val="auto"/>
                <w:w w:val="91"/>
              </w:rPr>
              <w:t>Gathering and</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160" w:type="dxa"/>
            <w:vAlign w:val="bottom"/>
          </w:tcPr>
          <w:p>
            <w:pPr>
              <w:jc w:val="center"/>
              <w:ind w:left="253"/>
              <w:spacing w:after="0"/>
              <w:rPr>
                <w:sz w:val="20"/>
                <w:szCs w:val="20"/>
                <w:color w:val="auto"/>
              </w:rPr>
            </w:pPr>
            <w:r>
              <w:rPr>
                <w:rFonts w:ascii="Arial" w:cs="Arial" w:eastAsia="Arial" w:hAnsi="Arial"/>
                <w:sz w:val="10"/>
                <w:szCs w:val="10"/>
                <w:b w:val="1"/>
                <w:bCs w:val="1"/>
                <w:color w:val="auto"/>
                <w:w w:val="85"/>
              </w:rPr>
              <w:t>Processing</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jc w:val="right"/>
              <w:ind w:right="170"/>
              <w:spacing w:after="0"/>
              <w:rPr>
                <w:sz w:val="20"/>
                <w:szCs w:val="20"/>
                <w:color w:val="auto"/>
              </w:rPr>
            </w:pPr>
            <w:r>
              <w:rPr>
                <w:rFonts w:ascii="Arial" w:cs="Arial" w:eastAsia="Arial" w:hAnsi="Arial"/>
                <w:sz w:val="10"/>
                <w:szCs w:val="10"/>
                <w:b w:val="1"/>
                <w:bCs w:val="1"/>
                <w:color w:val="auto"/>
                <w:w w:val="96"/>
              </w:rPr>
              <w:t>Logistics and Marketing</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0"/>
                <w:szCs w:val="10"/>
                <w:color w:val="auto"/>
              </w:rPr>
            </w:pPr>
          </w:p>
        </w:tc>
        <w:tc>
          <w:tcPr>
            <w:tcW w:w="1580" w:type="dxa"/>
            <w:vAlign w:val="bottom"/>
            <w:gridSpan w:val="3"/>
          </w:tcPr>
          <w:p>
            <w:pPr>
              <w:ind w:left="40"/>
              <w:spacing w:after="0"/>
              <w:rPr>
                <w:sz w:val="20"/>
                <w:szCs w:val="20"/>
                <w:color w:val="auto"/>
              </w:rPr>
            </w:pPr>
            <w:r>
              <w:rPr>
                <w:rFonts w:ascii="Arial" w:cs="Arial" w:eastAsia="Arial" w:hAnsi="Arial"/>
                <w:sz w:val="10"/>
                <w:szCs w:val="10"/>
                <w:b w:val="1"/>
                <w:bCs w:val="1"/>
                <w:color w:val="auto"/>
              </w:rPr>
              <w:t>Consolidated Operating Margin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0"/>
                <w:szCs w:val="10"/>
                <w:b w:val="1"/>
                <w:bCs w:val="1"/>
                <w:color w:val="auto"/>
              </w:rPr>
              <w:t>Three Months Ended:</w:t>
            </w:r>
          </w:p>
        </w:tc>
        <w:tc>
          <w:tcPr>
            <w:tcW w:w="1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b w:val="1"/>
                <w:bCs w:val="1"/>
                <w:color w:val="auto"/>
              </w:rPr>
              <w:t>(In</w:t>
            </w:r>
          </w:p>
        </w:tc>
        <w:tc>
          <w:tcPr>
            <w:tcW w:w="260" w:type="dxa"/>
            <w:vAlign w:val="bottom"/>
          </w:tcPr>
          <w:p>
            <w:pPr>
              <w:spacing w:after="0"/>
              <w:rPr>
                <w:sz w:val="20"/>
                <w:szCs w:val="20"/>
                <w:color w:val="auto"/>
              </w:rPr>
            </w:pPr>
            <w:r>
              <w:rPr>
                <w:rFonts w:ascii="Arial" w:cs="Arial" w:eastAsia="Arial" w:hAnsi="Arial"/>
                <w:sz w:val="8"/>
                <w:szCs w:val="8"/>
                <w:b w:val="1"/>
                <w:bCs w:val="1"/>
                <w:color w:val="auto"/>
                <w:w w:val="72"/>
              </w:rPr>
              <w:t>millions)</w:t>
            </w:r>
          </w:p>
        </w:tc>
        <w:tc>
          <w:tcPr>
            <w:tcW w:w="3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7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70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March 31, 2019</w:t>
            </w:r>
          </w:p>
        </w:tc>
        <w:tc>
          <w:tcPr>
            <w:tcW w:w="1160" w:type="dxa"/>
            <w:vAlign w:val="bottom"/>
            <w:shd w:val="clear" w:color="auto" w:fill="CFF0FC"/>
          </w:tcPr>
          <w:p>
            <w:pPr>
              <w:jc w:val="right"/>
              <w:ind w:right="1073"/>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229.0</w:t>
            </w: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55"/>
              <w:spacing w:after="0"/>
              <w:rPr>
                <w:sz w:val="20"/>
                <w:szCs w:val="20"/>
                <w:color w:val="auto"/>
              </w:rPr>
            </w:pPr>
            <w:r>
              <w:rPr>
                <w:rFonts w:ascii="Arial" w:cs="Arial" w:eastAsia="Arial" w:hAnsi="Arial"/>
                <w:sz w:val="5"/>
                <w:szCs w:val="5"/>
                <w:color w:val="auto"/>
                <w:w w:val="70"/>
              </w:rPr>
              <w:t>$</w:t>
            </w:r>
          </w:p>
        </w:tc>
        <w:tc>
          <w:tcPr>
            <w:tcW w:w="13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152.1</w:t>
            </w:r>
          </w:p>
        </w:tc>
        <w:tc>
          <w:tcPr>
            <w:tcW w:w="580" w:type="dxa"/>
            <w:vAlign w:val="bottom"/>
            <w:gridSpan w:val="2"/>
            <w:shd w:val="clear" w:color="auto" w:fill="CFF0FC"/>
          </w:tcPr>
          <w:p>
            <w:pPr>
              <w:jc w:val="right"/>
              <w:ind w:right="260"/>
              <w:spacing w:after="0" w:line="113" w:lineRule="exact"/>
              <w:rPr>
                <w:sz w:val="20"/>
                <w:szCs w:val="20"/>
                <w:color w:val="auto"/>
              </w:rPr>
            </w:pPr>
            <w:r>
              <w:rPr>
                <w:rFonts w:ascii="Arial" w:cs="Arial" w:eastAsia="Arial" w:hAnsi="Arial"/>
                <w:sz w:val="10"/>
                <w:szCs w:val="10"/>
                <w:color w:val="auto"/>
              </w:rPr>
              <w:t>$</w:t>
            </w:r>
          </w:p>
        </w:tc>
        <w:tc>
          <w:tcPr>
            <w:tcW w:w="11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2.1</w:t>
            </w:r>
          </w:p>
        </w:tc>
        <w:tc>
          <w:tcPr>
            <w:tcW w:w="16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550"/>
              <w:spacing w:after="0" w:line="113" w:lineRule="exact"/>
              <w:rPr>
                <w:sz w:val="20"/>
                <w:szCs w:val="20"/>
                <w:color w:val="auto"/>
              </w:rPr>
            </w:pPr>
            <w:r>
              <w:rPr>
                <w:rFonts w:ascii="Arial" w:cs="Arial" w:eastAsia="Arial" w:hAnsi="Arial"/>
                <w:sz w:val="10"/>
                <w:szCs w:val="10"/>
                <w:color w:val="auto"/>
              </w:rPr>
              <w:t>$</w:t>
            </w:r>
          </w:p>
        </w:tc>
        <w:tc>
          <w:tcPr>
            <w:tcW w:w="8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383.2</w:t>
            </w:r>
          </w:p>
        </w:tc>
        <w:tc>
          <w:tcPr>
            <w:tcW w:w="12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20"/>
                <w:szCs w:val="20"/>
                <w:color w:val="auto"/>
              </w:rPr>
            </w:pPr>
            <w:r>
              <w:rPr>
                <w:rFonts w:ascii="Arial" w:cs="Arial" w:eastAsia="Arial" w:hAnsi="Arial"/>
                <w:sz w:val="10"/>
                <w:szCs w:val="10"/>
                <w:color w:val="auto"/>
              </w:rPr>
              <w:t>March 31, 2018</w:t>
            </w:r>
          </w:p>
        </w:tc>
        <w:tc>
          <w:tcPr>
            <w:tcW w:w="11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220.8</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138.4</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0"/>
                <w:szCs w:val="10"/>
                <w:color w:val="auto"/>
              </w:rPr>
              <w:t>(17.8)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341.4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4700" w:type="dxa"/>
            <w:vAlign w:val="bottom"/>
          </w:tcPr>
          <w:p>
            <w:pPr>
              <w:spacing w:after="0"/>
              <w:rPr>
                <w:sz w:val="24"/>
                <w:szCs w:val="24"/>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35</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7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7278370</wp:posOffset>
            </wp:positionH>
            <wp:positionV relativeFrom="paragraph">
              <wp:posOffset>-24130</wp:posOffset>
            </wp:positionV>
            <wp:extent cx="3111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-24130</wp:posOffset>
            </wp:positionV>
            <wp:extent cx="3111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500"/>
          </w:cols>
          <w:pgMar w:left="220" w:top="281" w:right="179" w:bottom="1440" w:gutter="0" w:footer="0" w:header="0"/>
        </w:sectPr>
      </w:pPr>
    </w:p>
    <w:bookmarkStart w:id="36" w:name="page37"/>
    <w:bookmarkEnd w:id="36"/>
    <w:p>
      <w:pPr>
        <w:ind w:left="5"/>
        <w:spacing w:after="0"/>
        <w:rPr>
          <w:sz w:val="20"/>
          <w:szCs w:val="20"/>
          <w:color w:val="auto"/>
        </w:rPr>
      </w:pPr>
      <w:r>
        <w:rPr>
          <w:rFonts w:ascii="Arial" w:cs="Arial" w:eastAsia="Arial" w:hAnsi="Arial"/>
          <w:sz w:val="13"/>
          <w:szCs w:val="13"/>
          <w:b w:val="1"/>
          <w:bCs w:val="1"/>
          <w:i w:val="1"/>
          <w:iCs w:val="1"/>
          <w:color w:val="auto"/>
        </w:rPr>
        <w:t>Gathering and Processing Segment</w:t>
      </w:r>
    </w:p>
    <w:p>
      <w:pPr>
        <w:spacing w:after="0" w:line="108"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514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0"/>
                <w:szCs w:val="10"/>
                <w:b w:val="1"/>
                <w:bCs w:val="1"/>
                <w:color w:val="auto"/>
                <w:w w:val="97"/>
              </w:rPr>
              <w:t>Three Months Ended March 31,</w:t>
            </w:r>
          </w:p>
        </w:tc>
        <w:tc>
          <w:tcPr>
            <w:tcW w:w="10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2019 vs. 2018</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1020" w:type="dxa"/>
            <w:vAlign w:val="bottom"/>
            <w:tcBorders>
              <w:bottom w:val="single" w:sz="8" w:color="auto"/>
            </w:tcBorders>
          </w:tcPr>
          <w:p>
            <w:pPr>
              <w:jc w:val="right"/>
              <w:ind w:right="47"/>
              <w:spacing w:after="0" w:line="103" w:lineRule="exact"/>
              <w:rPr>
                <w:sz w:val="20"/>
                <w:szCs w:val="20"/>
                <w:color w:val="auto"/>
              </w:rPr>
            </w:pPr>
            <w:r>
              <w:rPr>
                <w:rFonts w:ascii="Arial" w:cs="Arial" w:eastAsia="Arial" w:hAnsi="Arial"/>
                <w:sz w:val="10"/>
                <w:szCs w:val="10"/>
                <w:b w:val="1"/>
                <w:bCs w:val="1"/>
                <w:color w:val="auto"/>
              </w:rPr>
              <w:t>2019</w:t>
            </w: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90"/>
              <w:spacing w:after="0" w:line="103" w:lineRule="exact"/>
              <w:rPr>
                <w:sz w:val="20"/>
                <w:szCs w:val="20"/>
                <w:color w:val="auto"/>
              </w:rPr>
            </w:pPr>
            <w:r>
              <w:rPr>
                <w:rFonts w:ascii="Arial" w:cs="Arial" w:eastAsia="Arial" w:hAnsi="Arial"/>
                <w:sz w:val="10"/>
                <w:szCs w:val="10"/>
                <w:b w:val="1"/>
                <w:bCs w:val="1"/>
                <w:color w:val="auto"/>
              </w:rPr>
              <w:t>2018</w:t>
            </w: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40" w:type="dxa"/>
            <w:vAlign w:val="bottom"/>
            <w:gridSpan w:val="5"/>
          </w:tcPr>
          <w:p>
            <w:pPr>
              <w:jc w:val="right"/>
              <w:ind w:right="155"/>
              <w:spacing w:after="0" w:line="103" w:lineRule="exact"/>
              <w:rPr>
                <w:sz w:val="20"/>
                <w:szCs w:val="20"/>
                <w:color w:val="auto"/>
              </w:rPr>
            </w:pPr>
            <w:r>
              <w:rPr>
                <w:rFonts w:ascii="Arial" w:cs="Arial" w:eastAsia="Arial" w:hAnsi="Arial"/>
                <w:sz w:val="10"/>
                <w:szCs w:val="10"/>
                <w:b w:val="1"/>
                <w:bCs w:val="1"/>
                <w:color w:val="auto"/>
                <w:w w:val="94"/>
              </w:rPr>
              <w:t>(In millions, except operating statistics and price amounts)</w:t>
            </w: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Gross margin</w:t>
            </w:r>
          </w:p>
        </w:tc>
        <w:tc>
          <w:tcPr>
            <w:tcW w:w="1020" w:type="dxa"/>
            <w:vAlign w:val="bottom"/>
            <w:shd w:val="clear" w:color="auto" w:fill="CFF0FC"/>
          </w:tcPr>
          <w:p>
            <w:pPr>
              <w:jc w:val="right"/>
              <w:ind w:right="947"/>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351.9</w:t>
            </w:r>
          </w:p>
        </w:tc>
        <w:tc>
          <w:tcPr>
            <w:tcW w:w="880" w:type="dxa"/>
            <w:vAlign w:val="bottom"/>
            <w:gridSpan w:val="2"/>
            <w:shd w:val="clear" w:color="auto" w:fill="CFF0FC"/>
          </w:tcPr>
          <w:p>
            <w:pPr>
              <w:jc w:val="right"/>
              <w:ind w:right="595"/>
              <w:spacing w:after="0" w:line="113" w:lineRule="exact"/>
              <w:rPr>
                <w:sz w:val="20"/>
                <w:szCs w:val="20"/>
                <w:color w:val="auto"/>
              </w:rPr>
            </w:pPr>
            <w:r>
              <w:rPr>
                <w:rFonts w:ascii="Arial" w:cs="Arial" w:eastAsia="Arial" w:hAnsi="Arial"/>
                <w:sz w:val="10"/>
                <w:szCs w:val="10"/>
                <w:color w:val="auto"/>
              </w:rPr>
              <w:t>$</w:t>
            </w:r>
          </w:p>
        </w:tc>
        <w:tc>
          <w:tcPr>
            <w:tcW w:w="10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325.6</w:t>
            </w:r>
          </w:p>
        </w:tc>
        <w:tc>
          <w:tcPr>
            <w:tcW w:w="940" w:type="dxa"/>
            <w:vAlign w:val="bottom"/>
            <w:gridSpan w:val="2"/>
            <w:shd w:val="clear" w:color="auto" w:fill="CFF0FC"/>
          </w:tcPr>
          <w:p>
            <w:pPr>
              <w:jc w:val="right"/>
              <w:ind w:right="655"/>
              <w:spacing w:after="0" w:line="113" w:lineRule="exact"/>
              <w:rPr>
                <w:sz w:val="20"/>
                <w:szCs w:val="20"/>
                <w:color w:val="auto"/>
              </w:rPr>
            </w:pPr>
            <w:r>
              <w:rPr>
                <w:rFonts w:ascii="Arial" w:cs="Arial" w:eastAsia="Arial" w:hAnsi="Arial"/>
                <w:sz w:val="10"/>
                <w:szCs w:val="10"/>
                <w:color w:val="auto"/>
              </w:rPr>
              <w:t>$</w:t>
            </w:r>
          </w:p>
        </w:tc>
        <w:tc>
          <w:tcPr>
            <w:tcW w:w="6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26.3</w:t>
            </w:r>
          </w:p>
        </w:tc>
        <w:tc>
          <w:tcPr>
            <w:tcW w:w="50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13"/>
        </w:trPr>
        <w:tc>
          <w:tcPr>
            <w:tcW w:w="5140" w:type="dxa"/>
            <w:vAlign w:val="bottom"/>
            <w:tcBorders>
              <w:bottom w:val="single" w:sz="8" w:color="CFF0FC"/>
            </w:tcBorders>
          </w:tcPr>
          <w:p>
            <w:pPr>
              <w:spacing w:after="0" w:line="113" w:lineRule="exact"/>
              <w:rPr>
                <w:sz w:val="20"/>
                <w:szCs w:val="20"/>
                <w:color w:val="auto"/>
              </w:rPr>
            </w:pPr>
            <w:r>
              <w:rPr>
                <w:rFonts w:ascii="Arial" w:cs="Arial" w:eastAsia="Arial" w:hAnsi="Arial"/>
                <w:sz w:val="10"/>
                <w:szCs w:val="10"/>
                <w:color w:val="auto"/>
              </w:rPr>
              <w:t>Operating expenses</w:t>
            </w:r>
          </w:p>
        </w:tc>
        <w:tc>
          <w:tcPr>
            <w:tcW w:w="10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122.9</w:t>
            </w:r>
          </w:p>
        </w:tc>
        <w:tc>
          <w:tcPr>
            <w:tcW w:w="22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104.8</w:t>
            </w:r>
          </w:p>
        </w:tc>
        <w:tc>
          <w:tcPr>
            <w:tcW w:w="22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18.1</w:t>
            </w:r>
          </w:p>
        </w:tc>
        <w:tc>
          <w:tcPr>
            <w:tcW w:w="500" w:type="dxa"/>
            <w:vAlign w:val="bottom"/>
            <w:tcBorders>
              <w:bottom w:val="single" w:sz="8" w:color="CFF0FC"/>
            </w:tcBorders>
          </w:tcPr>
          <w:p>
            <w:pPr>
              <w:spacing w:after="0"/>
              <w:rPr>
                <w:sz w:val="9"/>
                <w:szCs w:val="9"/>
                <w:color w:val="auto"/>
              </w:rPr>
            </w:pPr>
          </w:p>
        </w:tc>
        <w:tc>
          <w:tcPr>
            <w:tcW w:w="680" w:type="dxa"/>
            <w:vAlign w:val="bottom"/>
            <w:tcBorders>
              <w:bottom w:val="single" w:sz="8" w:color="CFF0FC"/>
            </w:tcBorders>
            <w:gridSpan w:val="2"/>
          </w:tcPr>
          <w:p>
            <w:pPr>
              <w:jc w:val="right"/>
              <w:ind w:right="60"/>
              <w:spacing w:after="0" w:line="113" w:lineRule="exact"/>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22"/>
        </w:trPr>
        <w:tc>
          <w:tcPr>
            <w:tcW w:w="5140" w:type="dxa"/>
            <w:vAlign w:val="bottom"/>
            <w:tcBorders>
              <w:bottom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Operating margin</w:t>
            </w:r>
          </w:p>
        </w:tc>
        <w:tc>
          <w:tcPr>
            <w:tcW w:w="102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229.0</w:t>
            </w: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ind w:right="595"/>
              <w:spacing w:after="0"/>
              <w:rPr>
                <w:sz w:val="20"/>
                <w:szCs w:val="20"/>
                <w:color w:val="auto"/>
              </w:rPr>
            </w:pPr>
            <w:r>
              <w:rPr>
                <w:rFonts w:ascii="Arial" w:cs="Arial" w:eastAsia="Arial" w:hAnsi="Arial"/>
                <w:sz w:val="5"/>
                <w:szCs w:val="5"/>
                <w:color w:val="auto"/>
                <w:w w:val="70"/>
              </w:rPr>
              <w:t>$</w:t>
            </w:r>
          </w:p>
        </w:tc>
        <w:tc>
          <w:tcPr>
            <w:tcW w:w="102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220.8</w:t>
            </w:r>
          </w:p>
        </w:tc>
        <w:tc>
          <w:tcPr>
            <w:tcW w:w="2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55"/>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8.2</w:t>
            </w:r>
          </w:p>
        </w:tc>
        <w:tc>
          <w:tcPr>
            <w:tcW w:w="50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gridSpan w:val="2"/>
            <w:shd w:val="clear" w:color="auto" w:fill="CFF0FC"/>
          </w:tcPr>
          <w:p>
            <w:pPr>
              <w:jc w:val="right"/>
              <w:ind w:right="60"/>
              <w:spacing w:after="0" w:line="103"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01"/>
        </w:trPr>
        <w:tc>
          <w:tcPr>
            <w:tcW w:w="5140" w:type="dxa"/>
            <w:vAlign w:val="bottom"/>
          </w:tcPr>
          <w:p>
            <w:pPr>
              <w:spacing w:after="0" w:line="102" w:lineRule="exact"/>
              <w:rPr>
                <w:sz w:val="20"/>
                <w:szCs w:val="20"/>
                <w:color w:val="auto"/>
              </w:rPr>
            </w:pPr>
            <w:r>
              <w:rPr>
                <w:rFonts w:ascii="Arial" w:cs="Arial" w:eastAsia="Arial" w:hAnsi="Arial"/>
                <w:sz w:val="10"/>
                <w:szCs w:val="10"/>
                <w:b w:val="1"/>
                <w:bCs w:val="1"/>
                <w:color w:val="auto"/>
              </w:rPr>
              <w:t>Operating statistics (1):</w:t>
            </w: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Plant natural gas inlet, MMcf/d (2),(3)</w:t>
            </w: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140" w:type="dxa"/>
            <w:vAlign w:val="bottom"/>
          </w:tcPr>
          <w:p>
            <w:pPr>
              <w:ind w:left="160"/>
              <w:spacing w:after="0" w:line="113" w:lineRule="exact"/>
              <w:rPr>
                <w:sz w:val="20"/>
                <w:szCs w:val="20"/>
                <w:color w:val="auto"/>
              </w:rPr>
            </w:pPr>
            <w:r>
              <w:rPr>
                <w:rFonts w:ascii="Arial" w:cs="Arial" w:eastAsia="Arial" w:hAnsi="Arial"/>
                <w:sz w:val="10"/>
                <w:szCs w:val="10"/>
                <w:color w:val="auto"/>
              </w:rPr>
              <w:t>Permian Midland (4)</w:t>
            </w:r>
          </w:p>
        </w:tc>
        <w:tc>
          <w:tcPr>
            <w:tcW w:w="10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1,334.4</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Arial" w:cs="Arial" w:eastAsia="Arial" w:hAnsi="Arial"/>
                <w:sz w:val="10"/>
                <w:szCs w:val="10"/>
                <w:color w:val="auto"/>
              </w:rPr>
              <w:t>1,014.1</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320.3</w:t>
            </w:r>
          </w:p>
        </w:tc>
        <w:tc>
          <w:tcPr>
            <w:tcW w:w="500" w:type="dxa"/>
            <w:vAlign w:val="bottom"/>
          </w:tcPr>
          <w:p>
            <w:pPr>
              <w:spacing w:after="0"/>
              <w:rPr>
                <w:sz w:val="9"/>
                <w:szCs w:val="9"/>
                <w:color w:val="auto"/>
              </w:rPr>
            </w:pPr>
          </w:p>
        </w:tc>
        <w:tc>
          <w:tcPr>
            <w:tcW w:w="68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32%</w:t>
            </w: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Permian Delaware</w:t>
            </w:r>
          </w:p>
        </w:tc>
        <w:tc>
          <w:tcPr>
            <w:tcW w:w="1020" w:type="dxa"/>
            <w:vAlign w:val="bottom"/>
            <w:tcBorders>
              <w:bottom w:val="single" w:sz="8" w:color="auto"/>
            </w:tcBorders>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480.4</w:t>
            </w:r>
          </w:p>
        </w:tc>
        <w:tc>
          <w:tcPr>
            <w:tcW w:w="220" w:type="dxa"/>
            <w:vAlign w:val="bottom"/>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409.2</w:t>
            </w:r>
          </w:p>
        </w:tc>
        <w:tc>
          <w:tcPr>
            <w:tcW w:w="220" w:type="dxa"/>
            <w:vAlign w:val="bottom"/>
            <w:shd w:val="clear" w:color="auto" w:fill="CFF0FC"/>
          </w:tcPr>
          <w:p>
            <w:pPr>
              <w:spacing w:after="0"/>
              <w:rPr>
                <w:sz w:val="9"/>
                <w:szCs w:val="9"/>
                <w:color w:val="auto"/>
              </w:rPr>
            </w:pPr>
          </w:p>
        </w:tc>
        <w:tc>
          <w:tcPr>
            <w:tcW w:w="72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71.2</w:t>
            </w:r>
          </w:p>
        </w:tc>
        <w:tc>
          <w:tcPr>
            <w:tcW w:w="50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02"/>
        </w:trPr>
        <w:tc>
          <w:tcPr>
            <w:tcW w:w="5140" w:type="dxa"/>
            <w:vAlign w:val="bottom"/>
          </w:tcPr>
          <w:p>
            <w:pPr>
              <w:ind w:left="160"/>
              <w:spacing w:after="0" w:line="103" w:lineRule="exact"/>
              <w:rPr>
                <w:sz w:val="20"/>
                <w:szCs w:val="20"/>
                <w:color w:val="auto"/>
              </w:rPr>
            </w:pPr>
            <w:r>
              <w:rPr>
                <w:rFonts w:ascii="Arial" w:cs="Arial" w:eastAsia="Arial" w:hAnsi="Arial"/>
                <w:sz w:val="10"/>
                <w:szCs w:val="10"/>
                <w:color w:val="auto"/>
              </w:rPr>
              <w:t>Total Permian</w:t>
            </w:r>
          </w:p>
        </w:tc>
        <w:tc>
          <w:tcPr>
            <w:tcW w:w="10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1,814.8</w:t>
            </w: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jc w:val="right"/>
              <w:spacing w:after="0" w:line="103" w:lineRule="exact"/>
              <w:rPr>
                <w:sz w:val="20"/>
                <w:szCs w:val="20"/>
                <w:color w:val="auto"/>
              </w:rPr>
            </w:pPr>
            <w:r>
              <w:rPr>
                <w:rFonts w:ascii="Arial" w:cs="Arial" w:eastAsia="Arial" w:hAnsi="Arial"/>
                <w:sz w:val="10"/>
                <w:szCs w:val="10"/>
                <w:color w:val="auto"/>
              </w:rPr>
              <w:t>1,423.3</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391.5</w:t>
            </w: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140" w:type="dxa"/>
            <w:vAlign w:val="bottom"/>
          </w:tcPr>
          <w:p>
            <w:pPr>
              <w:ind w:left="160"/>
              <w:spacing w:after="0" w:line="113" w:lineRule="exact"/>
              <w:rPr>
                <w:sz w:val="20"/>
                <w:szCs w:val="20"/>
                <w:color w:val="auto"/>
              </w:rPr>
            </w:pPr>
            <w:r>
              <w:rPr>
                <w:rFonts w:ascii="Arial" w:cs="Arial" w:eastAsia="Arial" w:hAnsi="Arial"/>
                <w:sz w:val="10"/>
                <w:szCs w:val="10"/>
                <w:color w:val="auto"/>
              </w:rPr>
              <w:t>SouthTX (5)</w:t>
            </w:r>
          </w:p>
        </w:tc>
        <w:tc>
          <w:tcPr>
            <w:tcW w:w="10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363.9</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Arial" w:cs="Arial" w:eastAsia="Arial" w:hAnsi="Arial"/>
                <w:sz w:val="10"/>
                <w:szCs w:val="10"/>
                <w:color w:val="auto"/>
              </w:rPr>
              <w:t>416.3</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(52.4)</w:t>
            </w:r>
          </w:p>
        </w:tc>
        <w:tc>
          <w:tcPr>
            <w:tcW w:w="68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North Texas</w:t>
            </w: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230.5</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235.1</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460"/>
              <w:spacing w:after="0" w:line="113" w:lineRule="exact"/>
              <w:rPr>
                <w:sz w:val="20"/>
                <w:szCs w:val="20"/>
                <w:color w:val="auto"/>
              </w:rPr>
            </w:pPr>
            <w:r>
              <w:rPr>
                <w:rFonts w:ascii="Arial" w:cs="Arial" w:eastAsia="Arial" w:hAnsi="Arial"/>
                <w:sz w:val="10"/>
                <w:szCs w:val="10"/>
                <w:color w:val="auto"/>
              </w:rPr>
              <w:t>(4.6)</w:t>
            </w:r>
          </w:p>
        </w:tc>
        <w:tc>
          <w:tcPr>
            <w:tcW w:w="680" w:type="dxa"/>
            <w:vAlign w:val="bottom"/>
            <w:gridSpan w:val="2"/>
            <w:shd w:val="clear" w:color="auto" w:fill="CFF0FC"/>
          </w:tcPr>
          <w:p>
            <w:pPr>
              <w:jc w:val="right"/>
              <w:ind w:right="40"/>
              <w:spacing w:after="0" w:line="113"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13"/>
        </w:trPr>
        <w:tc>
          <w:tcPr>
            <w:tcW w:w="5140" w:type="dxa"/>
            <w:vAlign w:val="bottom"/>
          </w:tcPr>
          <w:p>
            <w:pPr>
              <w:ind w:left="160"/>
              <w:spacing w:after="0" w:line="113" w:lineRule="exact"/>
              <w:rPr>
                <w:sz w:val="20"/>
                <w:szCs w:val="20"/>
                <w:color w:val="auto"/>
              </w:rPr>
            </w:pPr>
            <w:r>
              <w:rPr>
                <w:rFonts w:ascii="Arial" w:cs="Arial" w:eastAsia="Arial" w:hAnsi="Arial"/>
                <w:sz w:val="10"/>
                <w:szCs w:val="10"/>
                <w:color w:val="auto"/>
              </w:rPr>
              <w:t>SouthOK (6)</w:t>
            </w:r>
          </w:p>
        </w:tc>
        <w:tc>
          <w:tcPr>
            <w:tcW w:w="10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620.0</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Arial" w:cs="Arial" w:eastAsia="Arial" w:hAnsi="Arial"/>
                <w:sz w:val="10"/>
                <w:szCs w:val="10"/>
                <w:color w:val="auto"/>
              </w:rPr>
              <w:t>529.9</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90.1</w:t>
            </w:r>
          </w:p>
        </w:tc>
        <w:tc>
          <w:tcPr>
            <w:tcW w:w="500" w:type="dxa"/>
            <w:vAlign w:val="bottom"/>
          </w:tcPr>
          <w:p>
            <w:pPr>
              <w:spacing w:after="0"/>
              <w:rPr>
                <w:sz w:val="9"/>
                <w:szCs w:val="9"/>
                <w:color w:val="auto"/>
              </w:rPr>
            </w:pPr>
          </w:p>
        </w:tc>
        <w:tc>
          <w:tcPr>
            <w:tcW w:w="68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WestOK</w:t>
            </w: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338.1</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350.1</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460"/>
              <w:spacing w:after="0" w:line="113" w:lineRule="exact"/>
              <w:rPr>
                <w:sz w:val="20"/>
                <w:szCs w:val="20"/>
                <w:color w:val="auto"/>
              </w:rPr>
            </w:pPr>
            <w:r>
              <w:rPr>
                <w:rFonts w:ascii="Arial" w:cs="Arial" w:eastAsia="Arial" w:hAnsi="Arial"/>
                <w:sz w:val="10"/>
                <w:szCs w:val="10"/>
                <w:color w:val="auto"/>
              </w:rPr>
              <w:t>(12.0)</w:t>
            </w:r>
          </w:p>
        </w:tc>
        <w:tc>
          <w:tcPr>
            <w:tcW w:w="680" w:type="dxa"/>
            <w:vAlign w:val="bottom"/>
            <w:gridSpan w:val="2"/>
            <w:shd w:val="clear" w:color="auto" w:fill="CFF0FC"/>
          </w:tcPr>
          <w:p>
            <w:pPr>
              <w:jc w:val="right"/>
              <w:ind w:right="40"/>
              <w:spacing w:after="0" w:line="113"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2"/>
        </w:trPr>
        <w:tc>
          <w:tcPr>
            <w:tcW w:w="5140" w:type="dxa"/>
            <w:vAlign w:val="bottom"/>
          </w:tcPr>
          <w:p>
            <w:pPr>
              <w:ind w:left="160"/>
              <w:spacing w:after="0" w:line="103" w:lineRule="exact"/>
              <w:rPr>
                <w:sz w:val="20"/>
                <w:szCs w:val="20"/>
                <w:color w:val="auto"/>
              </w:rPr>
            </w:pPr>
            <w:r>
              <w:rPr>
                <w:rFonts w:ascii="Arial" w:cs="Arial" w:eastAsia="Arial" w:hAnsi="Arial"/>
                <w:sz w:val="10"/>
                <w:szCs w:val="10"/>
                <w:color w:val="auto"/>
              </w:rPr>
              <w:t>Total Central</w:t>
            </w:r>
          </w:p>
        </w:tc>
        <w:tc>
          <w:tcPr>
            <w:tcW w:w="10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1,552.5</w:t>
            </w: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1,531.4</w:t>
            </w:r>
          </w:p>
        </w:tc>
        <w:tc>
          <w:tcPr>
            <w:tcW w:w="2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21.1</w:t>
            </w: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140" w:type="dxa"/>
            <w:vAlign w:val="bottom"/>
            <w:tcBorders>
              <w:bottom w:val="single" w:sz="8" w:color="CFF0FC"/>
            </w:tcBorders>
          </w:tcPr>
          <w:p>
            <w:pPr>
              <w:ind w:left="160"/>
              <w:spacing w:after="0" w:line="113" w:lineRule="exact"/>
              <w:rPr>
                <w:sz w:val="20"/>
                <w:szCs w:val="20"/>
                <w:color w:val="auto"/>
              </w:rPr>
            </w:pPr>
            <w:r>
              <w:rPr>
                <w:rFonts w:ascii="Arial" w:cs="Arial" w:eastAsia="Arial" w:hAnsi="Arial"/>
                <w:sz w:val="10"/>
                <w:szCs w:val="10"/>
                <w:color w:val="auto"/>
              </w:rPr>
              <w:t>Badlands (7)</w:t>
            </w:r>
          </w:p>
        </w:tc>
        <w:tc>
          <w:tcPr>
            <w:tcW w:w="10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96.9</w:t>
            </w:r>
          </w:p>
        </w:tc>
        <w:tc>
          <w:tcPr>
            <w:tcW w:w="22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73.3</w:t>
            </w:r>
          </w:p>
        </w:tc>
        <w:tc>
          <w:tcPr>
            <w:tcW w:w="22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23.6</w:t>
            </w:r>
          </w:p>
        </w:tc>
        <w:tc>
          <w:tcPr>
            <w:tcW w:w="500" w:type="dxa"/>
            <w:vAlign w:val="bottom"/>
            <w:tcBorders>
              <w:bottom w:val="single" w:sz="8" w:color="CFF0FC"/>
            </w:tcBorders>
          </w:tcPr>
          <w:p>
            <w:pPr>
              <w:spacing w:after="0"/>
              <w:rPr>
                <w:sz w:val="9"/>
                <w:szCs w:val="9"/>
                <w:color w:val="auto"/>
              </w:rPr>
            </w:pPr>
          </w:p>
        </w:tc>
        <w:tc>
          <w:tcPr>
            <w:tcW w:w="680" w:type="dxa"/>
            <w:vAlign w:val="bottom"/>
            <w:tcBorders>
              <w:bottom w:val="single" w:sz="8" w:color="CFF0FC"/>
            </w:tcBorders>
            <w:gridSpan w:val="2"/>
          </w:tcPr>
          <w:p>
            <w:pPr>
              <w:jc w:val="right"/>
              <w:ind w:right="60"/>
              <w:spacing w:after="0" w:line="113" w:lineRule="exact"/>
              <w:rPr>
                <w:sz w:val="20"/>
                <w:szCs w:val="20"/>
                <w:color w:val="auto"/>
              </w:rPr>
            </w:pPr>
            <w:r>
              <w:rPr>
                <w:rFonts w:ascii="Arial" w:cs="Arial" w:eastAsia="Arial" w:hAnsi="Arial"/>
                <w:sz w:val="10"/>
                <w:szCs w:val="10"/>
                <w:color w:val="auto"/>
              </w:rPr>
              <w:t>32%</w:t>
            </w:r>
          </w:p>
        </w:tc>
        <w:tc>
          <w:tcPr>
            <w:tcW w:w="0" w:type="dxa"/>
            <w:vAlign w:val="bottom"/>
          </w:tcPr>
          <w:p>
            <w:pPr>
              <w:spacing w:after="0"/>
              <w:rPr>
                <w:sz w:val="1"/>
                <w:szCs w:val="1"/>
                <w:color w:val="auto"/>
              </w:rPr>
            </w:pPr>
          </w:p>
        </w:tc>
      </w:tr>
      <w:tr>
        <w:trPr>
          <w:trHeight w:val="102"/>
        </w:trPr>
        <w:tc>
          <w:tcPr>
            <w:tcW w:w="5140" w:type="dxa"/>
            <w:vAlign w:val="bottom"/>
            <w:shd w:val="clear" w:color="auto" w:fill="CFF0FC"/>
          </w:tcPr>
          <w:p>
            <w:pPr>
              <w:ind w:left="160"/>
              <w:spacing w:after="0" w:line="103" w:lineRule="exact"/>
              <w:rPr>
                <w:sz w:val="20"/>
                <w:szCs w:val="20"/>
                <w:color w:val="auto"/>
              </w:rPr>
            </w:pPr>
            <w:r>
              <w:rPr>
                <w:rFonts w:ascii="Arial" w:cs="Arial" w:eastAsia="Arial" w:hAnsi="Arial"/>
                <w:sz w:val="10"/>
                <w:szCs w:val="10"/>
                <w:color w:val="auto"/>
              </w:rPr>
              <w:t>Total Field</w:t>
            </w:r>
          </w:p>
        </w:tc>
        <w:tc>
          <w:tcPr>
            <w:tcW w:w="102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3,464.2</w:t>
            </w: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2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3,028.0</w:t>
            </w: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436.2</w:t>
            </w:r>
          </w:p>
        </w:tc>
        <w:tc>
          <w:tcPr>
            <w:tcW w:w="5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Coastal</w:t>
            </w: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769.9</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724.3</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45.6</w:t>
            </w:r>
          </w:p>
        </w:tc>
        <w:tc>
          <w:tcPr>
            <w:tcW w:w="50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13"/>
        </w:trPr>
        <w:tc>
          <w:tcPr>
            <w:tcW w:w="5140" w:type="dxa"/>
            <w:vAlign w:val="bottom"/>
            <w:tcBorders>
              <w:bottom w:val="single" w:sz="8" w:color="CFF0FC"/>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Borders>
              <w:bottom w:val="single" w:sz="8" w:color="CFF0FC"/>
            </w:tcBorders>
          </w:tcPr>
          <w:p>
            <w:pPr>
              <w:spacing w:after="0"/>
              <w:rPr>
                <w:sz w:val="9"/>
                <w:szCs w:val="9"/>
                <w:color w:val="auto"/>
              </w:rPr>
            </w:pPr>
          </w:p>
        </w:tc>
        <w:tc>
          <w:tcPr>
            <w:tcW w:w="54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140" w:type="dxa"/>
            <w:vAlign w:val="bottom"/>
            <w:tcBorders>
              <w:bottom w:val="single" w:sz="8" w:color="CFF0FC"/>
            </w:tcBorders>
            <w:shd w:val="clear" w:color="auto" w:fill="CFF0FC"/>
          </w:tcPr>
          <w:p>
            <w:pPr>
              <w:ind w:left="160"/>
              <w:spacing w:after="0" w:line="103" w:lineRule="exact"/>
              <w:rPr>
                <w:sz w:val="20"/>
                <w:szCs w:val="20"/>
                <w:color w:val="auto"/>
              </w:rPr>
            </w:pPr>
            <w:r>
              <w:rPr>
                <w:rFonts w:ascii="Arial" w:cs="Arial" w:eastAsia="Arial" w:hAnsi="Arial"/>
                <w:sz w:val="10"/>
                <w:szCs w:val="10"/>
                <w:color w:val="auto"/>
              </w:rPr>
              <w:t>Total</w:t>
            </w:r>
          </w:p>
        </w:tc>
        <w:tc>
          <w:tcPr>
            <w:tcW w:w="102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4,234.1</w:t>
            </w: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3,752.3</w:t>
            </w:r>
          </w:p>
        </w:tc>
        <w:tc>
          <w:tcPr>
            <w:tcW w:w="2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481.8</w:t>
            </w:r>
          </w:p>
        </w:tc>
        <w:tc>
          <w:tcPr>
            <w:tcW w:w="50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gridSpan w:val="2"/>
            <w:shd w:val="clear" w:color="auto" w:fill="CFF0FC"/>
          </w:tcPr>
          <w:p>
            <w:pPr>
              <w:jc w:val="right"/>
              <w:ind w:right="60"/>
              <w:spacing w:after="0" w:line="103" w:lineRule="exact"/>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01"/>
        </w:trPr>
        <w:tc>
          <w:tcPr>
            <w:tcW w:w="5140" w:type="dxa"/>
            <w:vAlign w:val="bottom"/>
          </w:tcPr>
          <w:p>
            <w:pPr>
              <w:spacing w:after="0" w:line="102" w:lineRule="exact"/>
              <w:rPr>
                <w:sz w:val="20"/>
                <w:szCs w:val="20"/>
                <w:color w:val="auto"/>
              </w:rPr>
            </w:pPr>
            <w:r>
              <w:rPr>
                <w:rFonts w:ascii="Arial" w:cs="Arial" w:eastAsia="Arial" w:hAnsi="Arial"/>
                <w:sz w:val="10"/>
                <w:szCs w:val="10"/>
                <w:color w:val="auto"/>
              </w:rPr>
              <w:t>NGL production, MBbl/d (3)</w:t>
            </w: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Permian Midland (4)</w:t>
            </w: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184.3</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140.2</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44.1</w:t>
            </w:r>
          </w:p>
        </w:tc>
        <w:tc>
          <w:tcPr>
            <w:tcW w:w="50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13"/>
        </w:trPr>
        <w:tc>
          <w:tcPr>
            <w:tcW w:w="5140" w:type="dxa"/>
            <w:vAlign w:val="bottom"/>
            <w:tcBorders>
              <w:bottom w:val="single" w:sz="8" w:color="CFF0FC"/>
            </w:tcBorders>
          </w:tcPr>
          <w:p>
            <w:pPr>
              <w:ind w:left="160"/>
              <w:spacing w:after="0" w:line="113" w:lineRule="exact"/>
              <w:rPr>
                <w:sz w:val="20"/>
                <w:szCs w:val="20"/>
                <w:color w:val="auto"/>
              </w:rPr>
            </w:pPr>
            <w:r>
              <w:rPr>
                <w:rFonts w:ascii="Arial" w:cs="Arial" w:eastAsia="Arial" w:hAnsi="Arial"/>
                <w:sz w:val="10"/>
                <w:szCs w:val="10"/>
                <w:color w:val="auto"/>
              </w:rPr>
              <w:t>Permian Delaware</w:t>
            </w:r>
          </w:p>
        </w:tc>
        <w:tc>
          <w:tcPr>
            <w:tcW w:w="10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60.5</w:t>
            </w:r>
          </w:p>
        </w:tc>
        <w:tc>
          <w:tcPr>
            <w:tcW w:w="22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45.7</w:t>
            </w:r>
          </w:p>
        </w:tc>
        <w:tc>
          <w:tcPr>
            <w:tcW w:w="22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14.8</w:t>
            </w:r>
          </w:p>
        </w:tc>
        <w:tc>
          <w:tcPr>
            <w:tcW w:w="500" w:type="dxa"/>
            <w:vAlign w:val="bottom"/>
            <w:tcBorders>
              <w:bottom w:val="single" w:sz="8" w:color="CFF0FC"/>
            </w:tcBorders>
          </w:tcPr>
          <w:p>
            <w:pPr>
              <w:spacing w:after="0"/>
              <w:rPr>
                <w:sz w:val="9"/>
                <w:szCs w:val="9"/>
                <w:color w:val="auto"/>
              </w:rPr>
            </w:pPr>
          </w:p>
        </w:tc>
        <w:tc>
          <w:tcPr>
            <w:tcW w:w="680" w:type="dxa"/>
            <w:vAlign w:val="bottom"/>
            <w:tcBorders>
              <w:bottom w:val="single" w:sz="8" w:color="CFF0FC"/>
            </w:tcBorders>
            <w:gridSpan w:val="2"/>
          </w:tcPr>
          <w:p>
            <w:pPr>
              <w:jc w:val="right"/>
              <w:ind w:right="60"/>
              <w:spacing w:after="0" w:line="113" w:lineRule="exact"/>
              <w:rPr>
                <w:sz w:val="20"/>
                <w:szCs w:val="20"/>
                <w:color w:val="auto"/>
              </w:rPr>
            </w:pPr>
            <w:r>
              <w:rPr>
                <w:rFonts w:ascii="Arial" w:cs="Arial" w:eastAsia="Arial" w:hAnsi="Arial"/>
                <w:sz w:val="10"/>
                <w:szCs w:val="10"/>
                <w:color w:val="auto"/>
              </w:rPr>
              <w:t>32%</w:t>
            </w:r>
          </w:p>
        </w:tc>
        <w:tc>
          <w:tcPr>
            <w:tcW w:w="0" w:type="dxa"/>
            <w:vAlign w:val="bottom"/>
          </w:tcPr>
          <w:p>
            <w:pPr>
              <w:spacing w:after="0"/>
              <w:rPr>
                <w:sz w:val="1"/>
                <w:szCs w:val="1"/>
                <w:color w:val="auto"/>
              </w:rPr>
            </w:pPr>
          </w:p>
        </w:tc>
      </w:tr>
      <w:tr>
        <w:trPr>
          <w:trHeight w:val="102"/>
        </w:trPr>
        <w:tc>
          <w:tcPr>
            <w:tcW w:w="5140" w:type="dxa"/>
            <w:vAlign w:val="bottom"/>
            <w:shd w:val="clear" w:color="auto" w:fill="CFF0FC"/>
          </w:tcPr>
          <w:p>
            <w:pPr>
              <w:ind w:left="160"/>
              <w:spacing w:after="0" w:line="103" w:lineRule="exact"/>
              <w:rPr>
                <w:sz w:val="20"/>
                <w:szCs w:val="20"/>
                <w:color w:val="auto"/>
              </w:rPr>
            </w:pPr>
            <w:r>
              <w:rPr>
                <w:rFonts w:ascii="Arial" w:cs="Arial" w:eastAsia="Arial" w:hAnsi="Arial"/>
                <w:sz w:val="10"/>
                <w:szCs w:val="10"/>
                <w:color w:val="auto"/>
              </w:rPr>
              <w:t>Total Permian</w:t>
            </w:r>
          </w:p>
        </w:tc>
        <w:tc>
          <w:tcPr>
            <w:tcW w:w="102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244.8</w:t>
            </w: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2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185.9</w:t>
            </w: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58.9</w:t>
            </w:r>
          </w:p>
        </w:tc>
        <w:tc>
          <w:tcPr>
            <w:tcW w:w="5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SouthTX (5)</w:t>
            </w: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48.8</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54.1</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460"/>
              <w:spacing w:after="0" w:line="113" w:lineRule="exact"/>
              <w:rPr>
                <w:sz w:val="20"/>
                <w:szCs w:val="20"/>
                <w:color w:val="auto"/>
              </w:rPr>
            </w:pPr>
            <w:r>
              <w:rPr>
                <w:rFonts w:ascii="Arial" w:cs="Arial" w:eastAsia="Arial" w:hAnsi="Arial"/>
                <w:sz w:val="10"/>
                <w:szCs w:val="10"/>
                <w:color w:val="auto"/>
              </w:rPr>
              <w:t>(5.3)</w:t>
            </w:r>
          </w:p>
        </w:tc>
        <w:tc>
          <w:tcPr>
            <w:tcW w:w="680" w:type="dxa"/>
            <w:vAlign w:val="bottom"/>
            <w:gridSpan w:val="2"/>
            <w:shd w:val="clear" w:color="auto" w:fill="CFF0FC"/>
          </w:tcPr>
          <w:p>
            <w:pPr>
              <w:jc w:val="right"/>
              <w:ind w:right="40"/>
              <w:spacing w:after="0" w:line="113"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13"/>
        </w:trPr>
        <w:tc>
          <w:tcPr>
            <w:tcW w:w="5140" w:type="dxa"/>
            <w:vAlign w:val="bottom"/>
          </w:tcPr>
          <w:p>
            <w:pPr>
              <w:ind w:left="160"/>
              <w:spacing w:after="0" w:line="113" w:lineRule="exact"/>
              <w:rPr>
                <w:sz w:val="20"/>
                <w:szCs w:val="20"/>
                <w:color w:val="auto"/>
              </w:rPr>
            </w:pPr>
            <w:r>
              <w:rPr>
                <w:rFonts w:ascii="Arial" w:cs="Arial" w:eastAsia="Arial" w:hAnsi="Arial"/>
                <w:sz w:val="10"/>
                <w:szCs w:val="10"/>
                <w:color w:val="auto"/>
              </w:rPr>
              <w:t>North Texas</w:t>
            </w:r>
          </w:p>
        </w:tc>
        <w:tc>
          <w:tcPr>
            <w:tcW w:w="10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26.8</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Arial" w:cs="Arial" w:eastAsia="Arial" w:hAnsi="Arial"/>
                <w:sz w:val="10"/>
                <w:szCs w:val="10"/>
                <w:color w:val="auto"/>
              </w:rPr>
              <w:t>25.9</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0.9</w:t>
            </w:r>
          </w:p>
        </w:tc>
        <w:tc>
          <w:tcPr>
            <w:tcW w:w="500" w:type="dxa"/>
            <w:vAlign w:val="bottom"/>
          </w:tcPr>
          <w:p>
            <w:pPr>
              <w:spacing w:after="0"/>
              <w:rPr>
                <w:sz w:val="9"/>
                <w:szCs w:val="9"/>
                <w:color w:val="auto"/>
              </w:rPr>
            </w:pPr>
          </w:p>
        </w:tc>
        <w:tc>
          <w:tcPr>
            <w:tcW w:w="68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SouthOK (6)</w:t>
            </w: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58.3</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48.9</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9.4</w:t>
            </w:r>
          </w:p>
        </w:tc>
        <w:tc>
          <w:tcPr>
            <w:tcW w:w="50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13"/>
        </w:trPr>
        <w:tc>
          <w:tcPr>
            <w:tcW w:w="5140" w:type="dxa"/>
            <w:vAlign w:val="bottom"/>
            <w:tcBorders>
              <w:bottom w:val="single" w:sz="8" w:color="CFF0FC"/>
            </w:tcBorders>
          </w:tcPr>
          <w:p>
            <w:pPr>
              <w:ind w:left="160"/>
              <w:spacing w:after="0" w:line="113" w:lineRule="exact"/>
              <w:rPr>
                <w:sz w:val="20"/>
                <w:szCs w:val="20"/>
                <w:color w:val="auto"/>
              </w:rPr>
            </w:pPr>
            <w:r>
              <w:rPr>
                <w:rFonts w:ascii="Arial" w:cs="Arial" w:eastAsia="Arial" w:hAnsi="Arial"/>
                <w:sz w:val="10"/>
                <w:szCs w:val="10"/>
                <w:color w:val="auto"/>
              </w:rPr>
              <w:t>WestOK</w:t>
            </w:r>
          </w:p>
        </w:tc>
        <w:tc>
          <w:tcPr>
            <w:tcW w:w="10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24.1</w:t>
            </w:r>
          </w:p>
        </w:tc>
        <w:tc>
          <w:tcPr>
            <w:tcW w:w="22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19.4</w:t>
            </w:r>
          </w:p>
        </w:tc>
        <w:tc>
          <w:tcPr>
            <w:tcW w:w="22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4.7</w:t>
            </w:r>
          </w:p>
        </w:tc>
        <w:tc>
          <w:tcPr>
            <w:tcW w:w="500" w:type="dxa"/>
            <w:vAlign w:val="bottom"/>
            <w:tcBorders>
              <w:bottom w:val="single" w:sz="8" w:color="CFF0FC"/>
            </w:tcBorders>
          </w:tcPr>
          <w:p>
            <w:pPr>
              <w:spacing w:after="0"/>
              <w:rPr>
                <w:sz w:val="9"/>
                <w:szCs w:val="9"/>
                <w:color w:val="auto"/>
              </w:rPr>
            </w:pPr>
          </w:p>
        </w:tc>
        <w:tc>
          <w:tcPr>
            <w:tcW w:w="680" w:type="dxa"/>
            <w:vAlign w:val="bottom"/>
            <w:tcBorders>
              <w:bottom w:val="single" w:sz="8" w:color="CFF0FC"/>
            </w:tcBorders>
            <w:gridSpan w:val="2"/>
          </w:tcPr>
          <w:p>
            <w:pPr>
              <w:jc w:val="right"/>
              <w:ind w:right="60"/>
              <w:spacing w:after="0" w:line="113" w:lineRule="exact"/>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02"/>
        </w:trPr>
        <w:tc>
          <w:tcPr>
            <w:tcW w:w="5140" w:type="dxa"/>
            <w:vAlign w:val="bottom"/>
            <w:shd w:val="clear" w:color="auto" w:fill="CFF0FC"/>
          </w:tcPr>
          <w:p>
            <w:pPr>
              <w:ind w:left="160"/>
              <w:spacing w:after="0" w:line="103" w:lineRule="exact"/>
              <w:rPr>
                <w:sz w:val="20"/>
                <w:szCs w:val="20"/>
                <w:color w:val="auto"/>
              </w:rPr>
            </w:pPr>
            <w:r>
              <w:rPr>
                <w:rFonts w:ascii="Arial" w:cs="Arial" w:eastAsia="Arial" w:hAnsi="Arial"/>
                <w:sz w:val="10"/>
                <w:szCs w:val="10"/>
                <w:color w:val="auto"/>
              </w:rPr>
              <w:t>Total Central</w:t>
            </w:r>
          </w:p>
        </w:tc>
        <w:tc>
          <w:tcPr>
            <w:tcW w:w="102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158.0</w:t>
            </w: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02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148.3</w:t>
            </w: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9.7</w:t>
            </w:r>
          </w:p>
        </w:tc>
        <w:tc>
          <w:tcPr>
            <w:tcW w:w="5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Badlands</w:t>
            </w:r>
          </w:p>
        </w:tc>
        <w:tc>
          <w:tcPr>
            <w:tcW w:w="1020" w:type="dxa"/>
            <w:vAlign w:val="bottom"/>
            <w:tcBorders>
              <w:bottom w:val="single" w:sz="8" w:color="auto"/>
            </w:tcBorders>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11.4</w:t>
            </w:r>
          </w:p>
        </w:tc>
        <w:tc>
          <w:tcPr>
            <w:tcW w:w="220" w:type="dxa"/>
            <w:vAlign w:val="bottom"/>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10.2</w:t>
            </w:r>
          </w:p>
        </w:tc>
        <w:tc>
          <w:tcPr>
            <w:tcW w:w="220" w:type="dxa"/>
            <w:vAlign w:val="bottom"/>
            <w:shd w:val="clear" w:color="auto" w:fill="CFF0FC"/>
          </w:tcPr>
          <w:p>
            <w:pPr>
              <w:spacing w:after="0"/>
              <w:rPr>
                <w:sz w:val="9"/>
                <w:szCs w:val="9"/>
                <w:color w:val="auto"/>
              </w:rPr>
            </w:pPr>
          </w:p>
        </w:tc>
        <w:tc>
          <w:tcPr>
            <w:tcW w:w="72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jc w:val="right"/>
              <w:spacing w:after="0" w:line="113" w:lineRule="exact"/>
              <w:rPr>
                <w:sz w:val="20"/>
                <w:szCs w:val="20"/>
                <w:color w:val="auto"/>
              </w:rPr>
            </w:pPr>
            <w:r>
              <w:rPr>
                <w:rFonts w:ascii="Arial" w:cs="Arial" w:eastAsia="Arial" w:hAnsi="Arial"/>
                <w:sz w:val="10"/>
                <w:szCs w:val="10"/>
                <w:color w:val="auto"/>
              </w:rPr>
              <w:t>1.2</w:t>
            </w:r>
          </w:p>
        </w:tc>
        <w:tc>
          <w:tcPr>
            <w:tcW w:w="50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02"/>
        </w:trPr>
        <w:tc>
          <w:tcPr>
            <w:tcW w:w="5140" w:type="dxa"/>
            <w:vAlign w:val="bottom"/>
          </w:tcPr>
          <w:p>
            <w:pPr>
              <w:ind w:left="160"/>
              <w:spacing w:after="0" w:line="103" w:lineRule="exact"/>
              <w:rPr>
                <w:sz w:val="20"/>
                <w:szCs w:val="20"/>
                <w:color w:val="auto"/>
              </w:rPr>
            </w:pPr>
            <w:r>
              <w:rPr>
                <w:rFonts w:ascii="Arial" w:cs="Arial" w:eastAsia="Arial" w:hAnsi="Arial"/>
                <w:sz w:val="10"/>
                <w:szCs w:val="10"/>
                <w:color w:val="auto"/>
              </w:rPr>
              <w:t>Total Field</w:t>
            </w:r>
          </w:p>
        </w:tc>
        <w:tc>
          <w:tcPr>
            <w:tcW w:w="10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414.2</w:t>
            </w: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jc w:val="right"/>
              <w:spacing w:after="0" w:line="103" w:lineRule="exact"/>
              <w:rPr>
                <w:sz w:val="20"/>
                <w:szCs w:val="20"/>
                <w:color w:val="auto"/>
              </w:rPr>
            </w:pPr>
            <w:r>
              <w:rPr>
                <w:rFonts w:ascii="Arial" w:cs="Arial" w:eastAsia="Arial" w:hAnsi="Arial"/>
                <w:sz w:val="10"/>
                <w:szCs w:val="10"/>
                <w:color w:val="auto"/>
              </w:rPr>
              <w:t>344.4</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69.8</w:t>
            </w: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140" w:type="dxa"/>
            <w:vAlign w:val="bottom"/>
          </w:tcPr>
          <w:p>
            <w:pPr>
              <w:ind w:left="160"/>
              <w:spacing w:after="0" w:line="113" w:lineRule="exact"/>
              <w:rPr>
                <w:sz w:val="20"/>
                <w:szCs w:val="20"/>
                <w:color w:val="auto"/>
              </w:rPr>
            </w:pPr>
            <w:r>
              <w:rPr>
                <w:rFonts w:ascii="Arial" w:cs="Arial" w:eastAsia="Arial" w:hAnsi="Arial"/>
                <w:sz w:val="10"/>
                <w:szCs w:val="10"/>
                <w:color w:val="auto"/>
              </w:rPr>
              <w:t>Coastal</w:t>
            </w:r>
          </w:p>
        </w:tc>
        <w:tc>
          <w:tcPr>
            <w:tcW w:w="10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48.4</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Arial" w:cs="Arial" w:eastAsia="Arial" w:hAnsi="Arial"/>
                <w:sz w:val="10"/>
                <w:szCs w:val="10"/>
                <w:color w:val="auto"/>
              </w:rPr>
              <w:t>42.6</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5.8</w:t>
            </w:r>
          </w:p>
        </w:tc>
        <w:tc>
          <w:tcPr>
            <w:tcW w:w="500" w:type="dxa"/>
            <w:vAlign w:val="bottom"/>
          </w:tcPr>
          <w:p>
            <w:pPr>
              <w:spacing w:after="0"/>
              <w:rPr>
                <w:sz w:val="9"/>
                <w:szCs w:val="9"/>
                <w:color w:val="auto"/>
              </w:rPr>
            </w:pPr>
          </w:p>
        </w:tc>
        <w:tc>
          <w:tcPr>
            <w:tcW w:w="68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140" w:type="dxa"/>
            <w:vAlign w:val="bottom"/>
            <w:tcBorders>
              <w:bottom w:val="single" w:sz="8" w:color="CFF0FC"/>
            </w:tcBorders>
          </w:tcPr>
          <w:p>
            <w:pPr>
              <w:ind w:left="160"/>
              <w:spacing w:after="0" w:line="103" w:lineRule="exact"/>
              <w:rPr>
                <w:sz w:val="20"/>
                <w:szCs w:val="20"/>
                <w:color w:val="auto"/>
              </w:rPr>
            </w:pPr>
            <w:r>
              <w:rPr>
                <w:rFonts w:ascii="Arial" w:cs="Arial" w:eastAsia="Arial" w:hAnsi="Arial"/>
                <w:sz w:val="10"/>
                <w:szCs w:val="10"/>
                <w:color w:val="auto"/>
              </w:rPr>
              <w:t>Total</w:t>
            </w:r>
          </w:p>
        </w:tc>
        <w:tc>
          <w:tcPr>
            <w:tcW w:w="10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462.6</w:t>
            </w:r>
          </w:p>
        </w:tc>
        <w:tc>
          <w:tcPr>
            <w:tcW w:w="22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387.0</w:t>
            </w:r>
          </w:p>
        </w:tc>
        <w:tc>
          <w:tcPr>
            <w:tcW w:w="22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75.6</w:t>
            </w:r>
          </w:p>
        </w:tc>
        <w:tc>
          <w:tcPr>
            <w:tcW w:w="500" w:type="dxa"/>
            <w:vAlign w:val="bottom"/>
            <w:tcBorders>
              <w:bottom w:val="single" w:sz="8" w:color="CFF0FC"/>
            </w:tcBorders>
          </w:tcPr>
          <w:p>
            <w:pPr>
              <w:spacing w:after="0"/>
              <w:rPr>
                <w:sz w:val="9"/>
                <w:szCs w:val="9"/>
                <w:color w:val="auto"/>
              </w:rPr>
            </w:pPr>
          </w:p>
        </w:tc>
        <w:tc>
          <w:tcPr>
            <w:tcW w:w="680" w:type="dxa"/>
            <w:vAlign w:val="bottom"/>
            <w:tcBorders>
              <w:bottom w:val="single" w:sz="8" w:color="CFF0FC"/>
            </w:tcBorders>
            <w:gridSpan w:val="2"/>
          </w:tcPr>
          <w:p>
            <w:pPr>
              <w:jc w:val="right"/>
              <w:ind w:right="60"/>
              <w:spacing w:after="0" w:line="103" w:lineRule="exact"/>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Crude oil gathered, Badlands, MBbl/d</w:t>
            </w: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169.5</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117.7</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51.8</w:t>
            </w:r>
          </w:p>
        </w:tc>
        <w:tc>
          <w:tcPr>
            <w:tcW w:w="50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113"/>
        </w:trPr>
        <w:tc>
          <w:tcPr>
            <w:tcW w:w="5140" w:type="dxa"/>
            <w:vAlign w:val="bottom"/>
          </w:tcPr>
          <w:p>
            <w:pPr>
              <w:spacing w:after="0" w:line="113" w:lineRule="exact"/>
              <w:rPr>
                <w:sz w:val="20"/>
                <w:szCs w:val="20"/>
                <w:color w:val="auto"/>
              </w:rPr>
            </w:pPr>
            <w:r>
              <w:rPr>
                <w:rFonts w:ascii="Arial" w:cs="Arial" w:eastAsia="Arial" w:hAnsi="Arial"/>
                <w:sz w:val="10"/>
                <w:szCs w:val="10"/>
                <w:color w:val="auto"/>
              </w:rPr>
              <w:t>Crude oil gathered, Permian, MBbl/d</w:t>
            </w:r>
          </w:p>
        </w:tc>
        <w:tc>
          <w:tcPr>
            <w:tcW w:w="10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67.4</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Arial" w:cs="Arial" w:eastAsia="Arial" w:hAnsi="Arial"/>
                <w:sz w:val="10"/>
                <w:szCs w:val="10"/>
                <w:color w:val="auto"/>
              </w:rPr>
              <w:t>49.4</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18.0</w:t>
            </w:r>
          </w:p>
        </w:tc>
        <w:tc>
          <w:tcPr>
            <w:tcW w:w="500" w:type="dxa"/>
            <w:vAlign w:val="bottom"/>
          </w:tcPr>
          <w:p>
            <w:pPr>
              <w:spacing w:after="0"/>
              <w:rPr>
                <w:sz w:val="9"/>
                <w:szCs w:val="9"/>
                <w:color w:val="auto"/>
              </w:rPr>
            </w:pPr>
          </w:p>
        </w:tc>
        <w:tc>
          <w:tcPr>
            <w:tcW w:w="68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Natural gas sales, BBtu/d (3)</w:t>
            </w: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1,925.9</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1,767.3</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158.6</w:t>
            </w:r>
          </w:p>
        </w:tc>
        <w:tc>
          <w:tcPr>
            <w:tcW w:w="50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13"/>
        </w:trPr>
        <w:tc>
          <w:tcPr>
            <w:tcW w:w="5140" w:type="dxa"/>
            <w:vAlign w:val="bottom"/>
          </w:tcPr>
          <w:p>
            <w:pPr>
              <w:spacing w:after="0" w:line="113" w:lineRule="exact"/>
              <w:rPr>
                <w:sz w:val="20"/>
                <w:szCs w:val="20"/>
                <w:color w:val="auto"/>
              </w:rPr>
            </w:pPr>
            <w:r>
              <w:rPr>
                <w:rFonts w:ascii="Arial" w:cs="Arial" w:eastAsia="Arial" w:hAnsi="Arial"/>
                <w:sz w:val="10"/>
                <w:szCs w:val="10"/>
                <w:color w:val="auto"/>
              </w:rPr>
              <w:t>NGL sales, MBbl/d</w:t>
            </w:r>
          </w:p>
        </w:tc>
        <w:tc>
          <w:tcPr>
            <w:tcW w:w="10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359.5</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Arial" w:cs="Arial" w:eastAsia="Arial" w:hAnsi="Arial"/>
                <w:sz w:val="10"/>
                <w:szCs w:val="10"/>
                <w:color w:val="auto"/>
              </w:rPr>
              <w:t>300.4</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59.1</w:t>
            </w:r>
          </w:p>
        </w:tc>
        <w:tc>
          <w:tcPr>
            <w:tcW w:w="500" w:type="dxa"/>
            <w:vAlign w:val="bottom"/>
          </w:tcPr>
          <w:p>
            <w:pPr>
              <w:spacing w:after="0"/>
              <w:rPr>
                <w:sz w:val="9"/>
                <w:szCs w:val="9"/>
                <w:color w:val="auto"/>
              </w:rPr>
            </w:pPr>
          </w:p>
        </w:tc>
        <w:tc>
          <w:tcPr>
            <w:tcW w:w="68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Condensate sales, MBbl/d</w:t>
            </w: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12.5</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16.2</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460"/>
              <w:spacing w:after="0" w:line="113" w:lineRule="exact"/>
              <w:rPr>
                <w:sz w:val="20"/>
                <w:szCs w:val="20"/>
                <w:color w:val="auto"/>
              </w:rPr>
            </w:pPr>
            <w:r>
              <w:rPr>
                <w:rFonts w:ascii="Arial" w:cs="Arial" w:eastAsia="Arial" w:hAnsi="Arial"/>
                <w:sz w:val="10"/>
                <w:szCs w:val="10"/>
                <w:color w:val="auto"/>
              </w:rPr>
              <w:t>(3.7)</w:t>
            </w:r>
          </w:p>
        </w:tc>
        <w:tc>
          <w:tcPr>
            <w:tcW w:w="680" w:type="dxa"/>
            <w:vAlign w:val="bottom"/>
            <w:gridSpan w:val="2"/>
            <w:shd w:val="clear" w:color="auto" w:fill="CFF0FC"/>
          </w:tcPr>
          <w:p>
            <w:pPr>
              <w:jc w:val="right"/>
              <w:ind w:right="40"/>
              <w:spacing w:after="0" w:line="113" w:lineRule="exact"/>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13"/>
        </w:trPr>
        <w:tc>
          <w:tcPr>
            <w:tcW w:w="5140" w:type="dxa"/>
            <w:vAlign w:val="bottom"/>
          </w:tcPr>
          <w:p>
            <w:pPr>
              <w:spacing w:after="0" w:line="113" w:lineRule="exact"/>
              <w:rPr>
                <w:sz w:val="20"/>
                <w:szCs w:val="20"/>
                <w:color w:val="auto"/>
              </w:rPr>
            </w:pPr>
            <w:r>
              <w:rPr>
                <w:rFonts w:ascii="Arial" w:cs="Arial" w:eastAsia="Arial" w:hAnsi="Arial"/>
                <w:sz w:val="10"/>
                <w:szCs w:val="10"/>
                <w:b w:val="1"/>
                <w:bCs w:val="1"/>
                <w:color w:val="auto"/>
              </w:rPr>
              <w:t>Average realized prices (8):</w:t>
            </w: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Natural gas, $/MMBtu</w:t>
            </w: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1.89</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2.37</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460"/>
              <w:spacing w:after="0" w:line="113" w:lineRule="exact"/>
              <w:rPr>
                <w:sz w:val="20"/>
                <w:szCs w:val="20"/>
                <w:color w:val="auto"/>
              </w:rPr>
            </w:pPr>
            <w:r>
              <w:rPr>
                <w:rFonts w:ascii="Arial" w:cs="Arial" w:eastAsia="Arial" w:hAnsi="Arial"/>
                <w:sz w:val="10"/>
                <w:szCs w:val="10"/>
                <w:color w:val="auto"/>
              </w:rPr>
              <w:t>(0.48)</w:t>
            </w:r>
          </w:p>
        </w:tc>
        <w:tc>
          <w:tcPr>
            <w:tcW w:w="680" w:type="dxa"/>
            <w:vAlign w:val="bottom"/>
            <w:gridSpan w:val="2"/>
            <w:shd w:val="clear" w:color="auto" w:fill="CFF0FC"/>
          </w:tcPr>
          <w:p>
            <w:pPr>
              <w:jc w:val="right"/>
              <w:ind w:right="40"/>
              <w:spacing w:after="0" w:line="113" w:lineRule="exact"/>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13"/>
        </w:trPr>
        <w:tc>
          <w:tcPr>
            <w:tcW w:w="5140" w:type="dxa"/>
            <w:vAlign w:val="bottom"/>
          </w:tcPr>
          <w:p>
            <w:pPr>
              <w:spacing w:after="0" w:line="113" w:lineRule="exact"/>
              <w:rPr>
                <w:sz w:val="20"/>
                <w:szCs w:val="20"/>
                <w:color w:val="auto"/>
              </w:rPr>
            </w:pPr>
            <w:r>
              <w:rPr>
                <w:rFonts w:ascii="Arial" w:cs="Arial" w:eastAsia="Arial" w:hAnsi="Arial"/>
                <w:sz w:val="10"/>
                <w:szCs w:val="10"/>
                <w:color w:val="auto"/>
              </w:rPr>
              <w:t>NGL, $/gal</w:t>
            </w:r>
          </w:p>
        </w:tc>
        <w:tc>
          <w:tcPr>
            <w:tcW w:w="102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0"/>
                <w:szCs w:val="10"/>
                <w:color w:val="auto"/>
              </w:rPr>
              <w:t>0.45</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Arial" w:cs="Arial" w:eastAsia="Arial" w:hAnsi="Arial"/>
                <w:sz w:val="10"/>
                <w:szCs w:val="10"/>
                <w:color w:val="auto"/>
              </w:rPr>
              <w:t>0.59</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(0.14)</w:t>
            </w:r>
          </w:p>
        </w:tc>
        <w:tc>
          <w:tcPr>
            <w:tcW w:w="68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13"/>
        </w:trPr>
        <w:tc>
          <w:tcPr>
            <w:tcW w:w="514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Condensate, $/Bbl</w:t>
            </w:r>
          </w:p>
        </w:tc>
        <w:tc>
          <w:tcPr>
            <w:tcW w:w="10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47.09</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59.66</w:t>
            </w: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460"/>
              <w:spacing w:after="0" w:line="113" w:lineRule="exact"/>
              <w:rPr>
                <w:sz w:val="20"/>
                <w:szCs w:val="20"/>
                <w:color w:val="auto"/>
              </w:rPr>
            </w:pPr>
            <w:r>
              <w:rPr>
                <w:rFonts w:ascii="Arial" w:cs="Arial" w:eastAsia="Arial" w:hAnsi="Arial"/>
                <w:sz w:val="10"/>
                <w:szCs w:val="10"/>
                <w:color w:val="auto"/>
              </w:rPr>
              <w:t>(12.57)</w:t>
            </w:r>
          </w:p>
        </w:tc>
        <w:tc>
          <w:tcPr>
            <w:tcW w:w="680" w:type="dxa"/>
            <w:vAlign w:val="bottom"/>
            <w:gridSpan w:val="2"/>
            <w:shd w:val="clear" w:color="auto" w:fill="CFF0FC"/>
          </w:tcPr>
          <w:p>
            <w:pPr>
              <w:jc w:val="right"/>
              <w:ind w:right="40"/>
              <w:spacing w:after="0" w:line="113" w:lineRule="exact"/>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121285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12850" cy="5715"/>
                    </a:xfrm>
                    <a:prstGeom prst="rect">
                      <a:avLst/>
                    </a:prstGeom>
                    <a:noFill/>
                  </pic:spPr>
                </pic:pic>
              </a:graphicData>
            </a:graphic>
          </wp:anchor>
        </w:drawing>
      </w:r>
    </w:p>
    <w:p>
      <w:pPr>
        <w:spacing w:after="0" w:line="108" w:lineRule="exact"/>
        <w:rPr>
          <w:sz w:val="20"/>
          <w:szCs w:val="20"/>
          <w:color w:val="auto"/>
        </w:rPr>
      </w:pPr>
    </w:p>
    <w:p>
      <w:pPr>
        <w:ind w:left="525" w:right="20" w:hanging="525"/>
        <w:spacing w:after="0" w:line="224" w:lineRule="auto"/>
        <w:tabs>
          <w:tab w:leader="none" w:pos="525" w:val="left"/>
        </w:tabs>
        <w:numPr>
          <w:ilvl w:val="0"/>
          <w:numId w:val="26"/>
        </w:numPr>
        <w:rPr>
          <w:rFonts w:ascii="Arial" w:cs="Arial" w:eastAsia="Arial" w:hAnsi="Arial"/>
          <w:sz w:val="10"/>
          <w:szCs w:val="10"/>
          <w:color w:val="auto"/>
        </w:rPr>
      </w:pPr>
      <w:r>
        <w:rPr>
          <w:rFonts w:ascii="Arial" w:cs="Arial" w:eastAsia="Arial" w:hAnsi="Arial"/>
          <w:sz w:val="10"/>
          <w:szCs w:val="10"/>
          <w:color w:val="auto"/>
        </w:rPr>
        <w:t>Segment operating statistics include the effect of intersegment amounts, which have been eliminated from the consolidated presentation. For all volume statistics presented, the numerator is the total volume sold during the quarter and the denominator is the number of calendar days during the quarter.</w:t>
      </w:r>
    </w:p>
    <w:p>
      <w:pPr>
        <w:ind w:left="525" w:hanging="525"/>
        <w:spacing w:after="0" w:line="215" w:lineRule="auto"/>
        <w:tabs>
          <w:tab w:leader="none" w:pos="525" w:val="left"/>
        </w:tabs>
        <w:numPr>
          <w:ilvl w:val="0"/>
          <w:numId w:val="26"/>
        </w:numPr>
        <w:rPr>
          <w:rFonts w:ascii="Arial" w:cs="Arial" w:eastAsia="Arial" w:hAnsi="Arial"/>
          <w:sz w:val="10"/>
          <w:szCs w:val="10"/>
          <w:color w:val="auto"/>
        </w:rPr>
      </w:pPr>
      <w:r>
        <w:rPr>
          <w:rFonts w:ascii="Arial" w:cs="Arial" w:eastAsia="Arial" w:hAnsi="Arial"/>
          <w:sz w:val="10"/>
          <w:szCs w:val="10"/>
          <w:color w:val="auto"/>
        </w:rPr>
        <w:t>Plant natural gas inlet represents our undivided interest in the volume of natural gas passing through the meter located at the inlet of a natural gas processing plant, other than Badlands.</w:t>
      </w:r>
    </w:p>
    <w:p>
      <w:pPr>
        <w:ind w:left="525" w:hanging="525"/>
        <w:spacing w:after="0" w:line="215" w:lineRule="auto"/>
        <w:tabs>
          <w:tab w:leader="none" w:pos="525" w:val="left"/>
        </w:tabs>
        <w:numPr>
          <w:ilvl w:val="0"/>
          <w:numId w:val="26"/>
        </w:numPr>
        <w:rPr>
          <w:rFonts w:ascii="Arial" w:cs="Arial" w:eastAsia="Arial" w:hAnsi="Arial"/>
          <w:sz w:val="10"/>
          <w:szCs w:val="10"/>
          <w:color w:val="auto"/>
        </w:rPr>
      </w:pPr>
      <w:r>
        <w:rPr>
          <w:rFonts w:ascii="Arial" w:cs="Arial" w:eastAsia="Arial" w:hAnsi="Arial"/>
          <w:sz w:val="10"/>
          <w:szCs w:val="10"/>
          <w:color w:val="auto"/>
        </w:rPr>
        <w:t>Plant natural gas inlet volumes and gross NGL production volumes include producer take-in-kind volumes, while natural gas sales and NGL sales exclude producer take-in-kind volumes.</w:t>
      </w:r>
    </w:p>
    <w:p>
      <w:pPr>
        <w:ind w:left="525" w:hanging="525"/>
        <w:spacing w:after="0" w:line="215" w:lineRule="auto"/>
        <w:tabs>
          <w:tab w:leader="none" w:pos="525" w:val="left"/>
        </w:tabs>
        <w:numPr>
          <w:ilvl w:val="0"/>
          <w:numId w:val="26"/>
        </w:numPr>
        <w:rPr>
          <w:rFonts w:ascii="Arial" w:cs="Arial" w:eastAsia="Arial" w:hAnsi="Arial"/>
          <w:sz w:val="10"/>
          <w:szCs w:val="10"/>
          <w:color w:val="auto"/>
        </w:rPr>
      </w:pPr>
      <w:r>
        <w:rPr>
          <w:rFonts w:ascii="Arial" w:cs="Arial" w:eastAsia="Arial" w:hAnsi="Arial"/>
          <w:sz w:val="10"/>
          <w:szCs w:val="10"/>
          <w:color w:val="auto"/>
        </w:rPr>
        <w:t>Permian Midland includes operations in WestTX, of which we own 72.8%, and other plants that are owned 100% by us. Operating results for the WestTX undivided interest assets are presented on a pro-rata net basis in our reported financials.</w:t>
      </w:r>
    </w:p>
    <w:p>
      <w:pPr>
        <w:ind w:left="525" w:hanging="525"/>
        <w:spacing w:after="0" w:line="215" w:lineRule="auto"/>
        <w:tabs>
          <w:tab w:leader="none" w:pos="525" w:val="left"/>
        </w:tabs>
        <w:numPr>
          <w:ilvl w:val="0"/>
          <w:numId w:val="26"/>
        </w:numPr>
        <w:rPr>
          <w:rFonts w:ascii="Arial" w:cs="Arial" w:eastAsia="Arial" w:hAnsi="Arial"/>
          <w:sz w:val="10"/>
          <w:szCs w:val="10"/>
          <w:color w:val="auto"/>
        </w:rPr>
      </w:pPr>
      <w:r>
        <w:rPr>
          <w:rFonts w:ascii="Arial" w:cs="Arial" w:eastAsia="Arial" w:hAnsi="Arial"/>
          <w:sz w:val="10"/>
          <w:szCs w:val="10"/>
          <w:color w:val="auto"/>
        </w:rPr>
        <w:t>SouthTX includes the Raptor Plant, of which we own a 50% interest through the Carnero Joint Venture. SouthTX also includes the Silver Oak II Plant, of which we owned a 100% interest until it was contributed to the Carnero Joint Venture in May 2018. The Carnero Joint Venture is a consolidated subsidiary and its financial results are presented on a gross basis in our reported financials.</w:t>
      </w:r>
    </w:p>
    <w:p>
      <w:pPr>
        <w:ind w:left="525" w:hanging="525"/>
        <w:spacing w:after="0" w:line="215" w:lineRule="auto"/>
        <w:tabs>
          <w:tab w:leader="none" w:pos="525" w:val="left"/>
        </w:tabs>
        <w:numPr>
          <w:ilvl w:val="0"/>
          <w:numId w:val="26"/>
        </w:numPr>
        <w:rPr>
          <w:rFonts w:ascii="Arial" w:cs="Arial" w:eastAsia="Arial" w:hAnsi="Arial"/>
          <w:sz w:val="10"/>
          <w:szCs w:val="10"/>
          <w:color w:val="auto"/>
        </w:rPr>
      </w:pPr>
      <w:r>
        <w:rPr>
          <w:rFonts w:ascii="Arial" w:cs="Arial" w:eastAsia="Arial" w:hAnsi="Arial"/>
          <w:sz w:val="10"/>
          <w:szCs w:val="10"/>
          <w:color w:val="auto"/>
        </w:rPr>
        <w:t>SouthOK includes the Centrahoma Joint Venture, of which we own 60%, and other plants that are owned 100% by us. Centrahoma is a consolidated subsidiary and its financial results are presented on a gross basis in our reported financials.</w:t>
      </w:r>
    </w:p>
    <w:p>
      <w:pPr>
        <w:ind w:left="525" w:hanging="525"/>
        <w:spacing w:after="0" w:line="215" w:lineRule="auto"/>
        <w:tabs>
          <w:tab w:leader="none" w:pos="525" w:val="left"/>
        </w:tabs>
        <w:numPr>
          <w:ilvl w:val="0"/>
          <w:numId w:val="26"/>
        </w:numPr>
        <w:rPr>
          <w:rFonts w:ascii="Arial" w:cs="Arial" w:eastAsia="Arial" w:hAnsi="Arial"/>
          <w:sz w:val="10"/>
          <w:szCs w:val="10"/>
          <w:color w:val="auto"/>
        </w:rPr>
      </w:pPr>
      <w:r>
        <w:rPr>
          <w:rFonts w:ascii="Arial" w:cs="Arial" w:eastAsia="Arial" w:hAnsi="Arial"/>
          <w:sz w:val="10"/>
          <w:szCs w:val="10"/>
          <w:color w:val="auto"/>
        </w:rPr>
        <w:t>Badlands natural gas inlet represents the total wellhead gathered volume.</w:t>
      </w:r>
    </w:p>
    <w:p>
      <w:pPr>
        <w:ind w:left="525" w:hanging="525"/>
        <w:spacing w:after="0"/>
        <w:tabs>
          <w:tab w:leader="none" w:pos="525" w:val="left"/>
        </w:tabs>
        <w:numPr>
          <w:ilvl w:val="0"/>
          <w:numId w:val="26"/>
        </w:numPr>
        <w:rPr>
          <w:rFonts w:ascii="Arial" w:cs="Arial" w:eastAsia="Arial" w:hAnsi="Arial"/>
          <w:sz w:val="10"/>
          <w:szCs w:val="10"/>
          <w:color w:val="auto"/>
        </w:rPr>
      </w:pPr>
      <w:r>
        <w:rPr>
          <w:rFonts w:ascii="Arial" w:cs="Arial" w:eastAsia="Arial" w:hAnsi="Arial"/>
          <w:sz w:val="10"/>
          <w:szCs w:val="10"/>
          <w:color w:val="auto"/>
        </w:rPr>
        <w:t>Average realized prices exclude the impact of hedging activities presented in Other.</w:t>
      </w:r>
    </w:p>
    <w:p>
      <w:pPr>
        <w:spacing w:after="0" w:line="135"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32536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328" w:right="199" w:bottom="1440" w:gutter="0" w:footer="0" w:header="0"/>
        </w:sectPr>
      </w:pPr>
    </w:p>
    <w:bookmarkStart w:id="37" w:name="page38"/>
    <w:bookmarkEnd w:id="37"/>
    <w:p>
      <w:pPr>
        <w:ind w:left="5"/>
        <w:spacing w:after="0"/>
        <w:rPr>
          <w:sz w:val="20"/>
          <w:szCs w:val="20"/>
          <w:color w:val="auto"/>
        </w:rPr>
      </w:pPr>
      <w:r>
        <w:rPr>
          <w:rFonts w:ascii="Arial" w:cs="Arial" w:eastAsia="Arial" w:hAnsi="Arial"/>
          <w:sz w:val="13"/>
          <w:szCs w:val="13"/>
          <w:i w:val="1"/>
          <w:iCs w:val="1"/>
          <w:color w:val="auto"/>
        </w:rPr>
        <w:t>Three Months Ended March 31, 2019 Compared to Three Months Ended March 31, 2018</w:t>
      </w:r>
    </w:p>
    <w:p>
      <w:pPr>
        <w:spacing w:after="0" w:line="152"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13"/>
          <w:szCs w:val="13"/>
          <w:color w:val="auto"/>
        </w:rPr>
        <w:t>The increase in gross margin was primarily due to higher Badlands and Permian volumes, partially offset by lower commodity prices and lower SouthTX volumes. The effect of commodity prices excludes the impact of hedging activities presented in Other. NGL production, NGL sales and natural gas sales increased primarily due to higher Field Gathering and Processing inlet volumes and increased NGL recoveries including reduced ethane rejection. Total crude oil gathered volumes increased in the Permian region due to production from new wells. In the Badlands, total crude oil gathered volumes and natural gas gathered volumes increased primarily due to production from new wells and system expansions.</w:t>
      </w:r>
    </w:p>
    <w:p>
      <w:pPr>
        <w:spacing w:after="0" w:line="140"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increase in operating expenses was primarily driven by gas plant and system expansions in the Permian region. Operating expenses in other regions were relatively flat.</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3"/>
          <w:szCs w:val="13"/>
          <w:b w:val="1"/>
          <w:bCs w:val="1"/>
          <w:i w:val="1"/>
          <w:iCs w:val="1"/>
          <w:color w:val="auto"/>
        </w:rPr>
        <w:t>Logistics and Marketing Segment</w:t>
      </w:r>
    </w:p>
    <w:p>
      <w:pPr>
        <w:spacing w:after="0" w:line="202" w:lineRule="exact"/>
        <w:rPr>
          <w:sz w:val="20"/>
          <w:szCs w:val="20"/>
          <w:color w:val="auto"/>
        </w:rPr>
      </w:pPr>
    </w:p>
    <w:tbl>
      <w:tblPr>
        <w:tblLayout w:type="fixed"/>
        <w:tblInd w:w="15" w:type="dxa"/>
        <w:tblCellMar>
          <w:top w:w="0" w:type="dxa"/>
          <w:left w:w="0" w:type="dxa"/>
          <w:bottom w:w="0" w:type="dxa"/>
          <w:right w:w="0" w:type="dxa"/>
        </w:tblCellMar>
      </w:tblPr>
      <w:tr>
        <w:trPr>
          <w:trHeight w:val="118"/>
        </w:trPr>
        <w:tc>
          <w:tcPr>
            <w:tcW w:w="48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0"/>
                <w:szCs w:val="10"/>
                <w:b w:val="1"/>
                <w:bCs w:val="1"/>
                <w:color w:val="auto"/>
                <w:w w:val="97"/>
              </w:rPr>
              <w:t>Three Months Ended March 31,</w:t>
            </w:r>
          </w:p>
        </w:tc>
        <w:tc>
          <w:tcPr>
            <w:tcW w:w="10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2019 vs. 2018</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820" w:type="dxa"/>
            <w:vAlign w:val="bottom"/>
          </w:tcPr>
          <w:p>
            <w:pPr>
              <w:spacing w:after="0"/>
              <w:rPr>
                <w:sz w:val="8"/>
                <w:szCs w:val="8"/>
                <w:color w:val="auto"/>
              </w:rPr>
            </w:pPr>
          </w:p>
        </w:tc>
        <w:tc>
          <w:tcPr>
            <w:tcW w:w="1060" w:type="dxa"/>
            <w:vAlign w:val="bottom"/>
            <w:tcBorders>
              <w:bottom w:val="single" w:sz="8" w:color="auto"/>
            </w:tcBorders>
          </w:tcPr>
          <w:p>
            <w:pPr>
              <w:jc w:val="right"/>
              <w:ind w:right="50"/>
              <w:spacing w:after="0" w:line="103" w:lineRule="exact"/>
              <w:rPr>
                <w:sz w:val="20"/>
                <w:szCs w:val="20"/>
                <w:color w:val="auto"/>
              </w:rPr>
            </w:pPr>
            <w:r>
              <w:rPr>
                <w:rFonts w:ascii="Arial" w:cs="Arial" w:eastAsia="Arial" w:hAnsi="Arial"/>
                <w:sz w:val="10"/>
                <w:szCs w:val="10"/>
                <w:b w:val="1"/>
                <w:bCs w:val="1"/>
                <w:color w:val="auto"/>
              </w:rPr>
              <w:t>2019</w:t>
            </w: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730"/>
              <w:spacing w:after="0" w:line="103" w:lineRule="exact"/>
              <w:rPr>
                <w:sz w:val="20"/>
                <w:szCs w:val="20"/>
                <w:color w:val="auto"/>
              </w:rPr>
            </w:pPr>
            <w:r>
              <w:rPr>
                <w:rFonts w:ascii="Arial" w:cs="Arial" w:eastAsia="Arial" w:hAnsi="Arial"/>
                <w:sz w:val="10"/>
                <w:szCs w:val="10"/>
                <w:b w:val="1"/>
                <w:bCs w:val="1"/>
                <w:color w:val="auto"/>
              </w:rPr>
              <w:t>2018</w:t>
            </w: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gridSpan w:val="2"/>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960" w:type="dxa"/>
            <w:vAlign w:val="bottom"/>
            <w:gridSpan w:val="3"/>
          </w:tcPr>
          <w:p>
            <w:pPr>
              <w:jc w:val="right"/>
              <w:spacing w:after="0" w:line="103" w:lineRule="exact"/>
              <w:rPr>
                <w:sz w:val="20"/>
                <w:szCs w:val="20"/>
                <w:color w:val="auto"/>
              </w:rPr>
            </w:pPr>
            <w:r>
              <w:rPr>
                <w:rFonts w:ascii="Arial" w:cs="Arial" w:eastAsia="Arial" w:hAnsi="Arial"/>
                <w:sz w:val="10"/>
                <w:szCs w:val="10"/>
                <w:b w:val="1"/>
                <w:bCs w:val="1"/>
                <w:color w:val="auto"/>
                <w:w w:val="94"/>
              </w:rPr>
              <w:t>(In millions, except operating statistics and</w:t>
            </w:r>
          </w:p>
        </w:tc>
        <w:tc>
          <w:tcPr>
            <w:tcW w:w="200" w:type="dxa"/>
            <w:vAlign w:val="bottom"/>
          </w:tcPr>
          <w:p>
            <w:pPr>
              <w:ind w:left="40"/>
              <w:spacing w:after="0"/>
              <w:rPr>
                <w:sz w:val="20"/>
                <w:szCs w:val="20"/>
                <w:color w:val="auto"/>
              </w:rPr>
            </w:pPr>
            <w:r>
              <w:rPr>
                <w:rFonts w:ascii="Arial" w:cs="Arial" w:eastAsia="Arial" w:hAnsi="Arial"/>
                <w:sz w:val="8"/>
                <w:szCs w:val="8"/>
                <w:b w:val="1"/>
                <w:bCs w:val="1"/>
                <w:color w:val="auto"/>
                <w:w w:val="72"/>
              </w:rPr>
              <w:t>price</w:t>
            </w:r>
          </w:p>
        </w:tc>
        <w:tc>
          <w:tcPr>
            <w:tcW w:w="740" w:type="dxa"/>
            <w:vAlign w:val="bottom"/>
          </w:tcPr>
          <w:p>
            <w:pPr>
              <w:jc w:val="right"/>
              <w:ind w:right="210"/>
              <w:spacing w:after="0" w:line="103" w:lineRule="exact"/>
              <w:rPr>
                <w:sz w:val="20"/>
                <w:szCs w:val="20"/>
                <w:color w:val="auto"/>
              </w:rPr>
            </w:pPr>
            <w:r>
              <w:rPr>
                <w:rFonts w:ascii="Arial" w:cs="Arial" w:eastAsia="Arial" w:hAnsi="Arial"/>
                <w:sz w:val="10"/>
                <w:szCs w:val="10"/>
                <w:b w:val="1"/>
                <w:bCs w:val="1"/>
                <w:color w:val="auto"/>
              </w:rPr>
              <w:t>amounts)</w:t>
            </w: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20" w:type="dxa"/>
            <w:vAlign w:val="bottom"/>
            <w:tcBorders>
              <w:left w:val="single" w:sz="8" w:color="CFF0FC"/>
            </w:tcBorders>
            <w:shd w:val="clear" w:color="auto" w:fill="CFF0FC"/>
          </w:tcPr>
          <w:p>
            <w:pPr>
              <w:spacing w:after="0" w:line="113" w:lineRule="exact"/>
              <w:rPr>
                <w:sz w:val="20"/>
                <w:szCs w:val="20"/>
                <w:color w:val="auto"/>
              </w:rPr>
            </w:pPr>
            <w:r>
              <w:rPr>
                <w:rFonts w:ascii="Arial" w:cs="Arial" w:eastAsia="Arial" w:hAnsi="Arial"/>
                <w:sz w:val="10"/>
                <w:szCs w:val="10"/>
                <w:color w:val="auto"/>
              </w:rPr>
              <w:t>Gross margin</w:t>
            </w:r>
          </w:p>
        </w:tc>
        <w:tc>
          <w:tcPr>
            <w:tcW w:w="1060" w:type="dxa"/>
            <w:vAlign w:val="bottom"/>
            <w:shd w:val="clear" w:color="auto" w:fill="CFF0FC"/>
          </w:tcPr>
          <w:p>
            <w:pPr>
              <w:jc w:val="right"/>
              <w:ind w:right="790"/>
              <w:spacing w:after="0" w:line="113" w:lineRule="exact"/>
              <w:rPr>
                <w:sz w:val="20"/>
                <w:szCs w:val="20"/>
                <w:color w:val="auto"/>
              </w:rPr>
            </w:pPr>
            <w:r>
              <w:rPr>
                <w:rFonts w:ascii="Arial" w:cs="Arial" w:eastAsia="Arial" w:hAnsi="Arial"/>
                <w:sz w:val="10"/>
                <w:szCs w:val="10"/>
                <w:color w:val="auto"/>
              </w:rPr>
              <w:t>$</w:t>
            </w:r>
          </w:p>
        </w:tc>
        <w:tc>
          <w:tcPr>
            <w:tcW w:w="6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219.5</w:t>
            </w:r>
          </w:p>
        </w:tc>
        <w:tc>
          <w:tcPr>
            <w:tcW w:w="880" w:type="dxa"/>
            <w:vAlign w:val="bottom"/>
            <w:gridSpan w:val="2"/>
            <w:shd w:val="clear" w:color="auto" w:fill="CFF0FC"/>
          </w:tcPr>
          <w:p>
            <w:pPr>
              <w:jc w:val="right"/>
              <w:ind w:right="390"/>
              <w:spacing w:after="0" w:line="113" w:lineRule="exact"/>
              <w:rPr>
                <w:sz w:val="20"/>
                <w:szCs w:val="20"/>
                <w:color w:val="auto"/>
              </w:rPr>
            </w:pPr>
            <w:r>
              <w:rPr>
                <w:rFonts w:ascii="Arial" w:cs="Arial" w:eastAsia="Arial" w:hAnsi="Arial"/>
                <w:sz w:val="10"/>
                <w:szCs w:val="10"/>
                <w:color w:val="auto"/>
              </w:rPr>
              <w:t>$</w:t>
            </w:r>
          </w:p>
        </w:tc>
        <w:tc>
          <w:tcPr>
            <w:tcW w:w="10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206.9</w:t>
            </w: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450"/>
              <w:spacing w:after="0" w:line="113" w:lineRule="exact"/>
              <w:rPr>
                <w:sz w:val="20"/>
                <w:szCs w:val="20"/>
                <w:color w:val="auto"/>
              </w:rPr>
            </w:pPr>
            <w:r>
              <w:rPr>
                <w:rFonts w:ascii="Arial" w:cs="Arial" w:eastAsia="Arial" w:hAnsi="Arial"/>
                <w:sz w:val="10"/>
                <w:szCs w:val="10"/>
                <w:color w:val="auto"/>
              </w:rPr>
              <w:t>$</w:t>
            </w:r>
          </w:p>
        </w:tc>
        <w:tc>
          <w:tcPr>
            <w:tcW w:w="6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12.6</w:t>
            </w:r>
          </w:p>
        </w:tc>
        <w:tc>
          <w:tcPr>
            <w:tcW w:w="60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13"/>
        </w:trPr>
        <w:tc>
          <w:tcPr>
            <w:tcW w:w="4820" w:type="dxa"/>
            <w:vAlign w:val="bottom"/>
          </w:tcPr>
          <w:p>
            <w:pPr>
              <w:spacing w:after="0" w:line="113" w:lineRule="exact"/>
              <w:rPr>
                <w:sz w:val="20"/>
                <w:szCs w:val="20"/>
                <w:color w:val="auto"/>
              </w:rPr>
            </w:pPr>
            <w:r>
              <w:rPr>
                <w:rFonts w:ascii="Arial" w:cs="Arial" w:eastAsia="Arial" w:hAnsi="Arial"/>
                <w:sz w:val="10"/>
                <w:szCs w:val="10"/>
                <w:color w:val="auto"/>
              </w:rPr>
              <w:t>Operating expenses</w:t>
            </w:r>
          </w:p>
        </w:tc>
        <w:tc>
          <w:tcPr>
            <w:tcW w:w="106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67.4</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Arial" w:cs="Arial" w:eastAsia="Arial" w:hAnsi="Arial"/>
                <w:sz w:val="10"/>
                <w:szCs w:val="10"/>
                <w:color w:val="auto"/>
              </w:rPr>
              <w:t>68.5</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gridSpan w:val="2"/>
          </w:tcPr>
          <w:p>
            <w:pPr>
              <w:jc w:val="right"/>
              <w:ind w:right="560"/>
              <w:spacing w:after="0" w:line="113" w:lineRule="exact"/>
              <w:rPr>
                <w:sz w:val="20"/>
                <w:szCs w:val="20"/>
                <w:color w:val="auto"/>
              </w:rPr>
            </w:pPr>
            <w:r>
              <w:rPr>
                <w:rFonts w:ascii="Arial" w:cs="Arial" w:eastAsia="Arial" w:hAnsi="Arial"/>
                <w:sz w:val="10"/>
                <w:szCs w:val="10"/>
                <w:color w:val="auto"/>
              </w:rPr>
              <w:t>(1.1)</w:t>
            </w:r>
          </w:p>
        </w:tc>
        <w:tc>
          <w:tcPr>
            <w:tcW w:w="74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22"/>
        </w:trPr>
        <w:tc>
          <w:tcPr>
            <w:tcW w:w="4820" w:type="dxa"/>
            <w:vAlign w:val="bottom"/>
            <w:tcBorders>
              <w:top w:val="single" w:sz="8" w:color="CFF0FC"/>
              <w:left w:val="single" w:sz="8" w:color="CFF0FC"/>
              <w:bottom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Operating margin</w:t>
            </w:r>
          </w:p>
        </w:tc>
        <w:tc>
          <w:tcPr>
            <w:tcW w:w="1060" w:type="dxa"/>
            <w:vAlign w:val="bottom"/>
            <w:tcBorders>
              <w:top w:val="single" w:sz="8" w:color="auto"/>
              <w:bottom w:val="single" w:sz="8" w:color="auto"/>
            </w:tcBorders>
            <w:shd w:val="clear" w:color="auto" w:fill="CFF0FC"/>
          </w:tcPr>
          <w:p>
            <w:pPr>
              <w:jc w:val="right"/>
              <w:ind w:right="790"/>
              <w:spacing w:after="0" w:line="103"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152.1</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680" w:type="dxa"/>
            <w:vAlign w:val="bottom"/>
            <w:tcBorders>
              <w:top w:val="single" w:sz="8" w:color="auto"/>
              <w:bottom w:val="single" w:sz="8" w:color="auto"/>
            </w:tcBorders>
            <w:shd w:val="clear" w:color="auto" w:fill="CFF0FC"/>
          </w:tcPr>
          <w:p>
            <w:pPr>
              <w:jc w:val="right"/>
              <w:ind w:right="390"/>
              <w:spacing w:after="0" w:line="103" w:lineRule="exact"/>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138.4</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740" w:type="dxa"/>
            <w:vAlign w:val="bottom"/>
            <w:tcBorders>
              <w:top w:val="single" w:sz="8" w:color="auto"/>
              <w:bottom w:val="single" w:sz="8" w:color="auto"/>
            </w:tcBorders>
            <w:shd w:val="clear" w:color="auto" w:fill="CFF0FC"/>
          </w:tcPr>
          <w:p>
            <w:pPr>
              <w:jc w:val="right"/>
              <w:ind w:right="450"/>
              <w:spacing w:after="0" w:line="103"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13.7</w:t>
            </w:r>
          </w:p>
        </w:tc>
        <w:tc>
          <w:tcPr>
            <w:tcW w:w="600" w:type="dxa"/>
            <w:vAlign w:val="bottom"/>
            <w:tcBorders>
              <w:top w:val="single" w:sz="8" w:color="CFF0FC"/>
              <w:bottom w:val="single" w:sz="8" w:color="CFF0FC"/>
            </w:tcBorders>
            <w:shd w:val="clear" w:color="auto" w:fill="CFF0FC"/>
          </w:tcPr>
          <w:p>
            <w:pPr>
              <w:spacing w:after="0"/>
              <w:rPr>
                <w:sz w:val="10"/>
                <w:szCs w:val="10"/>
                <w:color w:val="auto"/>
              </w:rPr>
            </w:pPr>
          </w:p>
        </w:tc>
        <w:tc>
          <w:tcPr>
            <w:tcW w:w="740" w:type="dxa"/>
            <w:vAlign w:val="bottom"/>
            <w:tcBorders>
              <w:top w:val="single" w:sz="8" w:color="CFF0FC"/>
              <w:bottom w:val="single" w:sz="8" w:color="CFF0FC"/>
            </w:tcBorders>
            <w:gridSpan w:val="2"/>
            <w:shd w:val="clear" w:color="auto" w:fill="CFF0FC"/>
          </w:tcPr>
          <w:p>
            <w:pPr>
              <w:jc w:val="right"/>
              <w:ind w:right="60"/>
              <w:spacing w:after="0" w:line="103"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01"/>
        </w:trPr>
        <w:tc>
          <w:tcPr>
            <w:tcW w:w="4820" w:type="dxa"/>
            <w:vAlign w:val="bottom"/>
          </w:tcPr>
          <w:p>
            <w:pPr>
              <w:spacing w:after="0" w:line="102" w:lineRule="exact"/>
              <w:rPr>
                <w:sz w:val="20"/>
                <w:szCs w:val="20"/>
                <w:color w:val="auto"/>
              </w:rPr>
            </w:pPr>
            <w:r>
              <w:rPr>
                <w:rFonts w:ascii="Arial" w:cs="Arial" w:eastAsia="Arial" w:hAnsi="Arial"/>
                <w:sz w:val="10"/>
                <w:szCs w:val="10"/>
                <w:b w:val="1"/>
                <w:bCs w:val="1"/>
                <w:color w:val="auto"/>
              </w:rPr>
              <w:t>Operating statistics MBbl/d (1):</w:t>
            </w: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20" w:type="dxa"/>
            <w:vAlign w:val="bottom"/>
            <w:tcBorders>
              <w:left w:val="single" w:sz="8" w:color="CFF0FC"/>
            </w:tcBorders>
            <w:shd w:val="clear" w:color="auto" w:fill="CFF0FC"/>
          </w:tcPr>
          <w:p>
            <w:pPr>
              <w:spacing w:after="0" w:line="113" w:lineRule="exact"/>
              <w:rPr>
                <w:sz w:val="20"/>
                <w:szCs w:val="20"/>
                <w:color w:val="auto"/>
              </w:rPr>
            </w:pPr>
            <w:r>
              <w:rPr>
                <w:rFonts w:ascii="Arial" w:cs="Arial" w:eastAsia="Arial" w:hAnsi="Arial"/>
                <w:sz w:val="10"/>
                <w:szCs w:val="10"/>
                <w:color w:val="auto"/>
              </w:rPr>
              <w:t>Fractionation volumes (2)</w:t>
            </w:r>
          </w:p>
        </w:tc>
        <w:tc>
          <w:tcPr>
            <w:tcW w:w="106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456.6</w:t>
            </w: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389.7</w:t>
            </w: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66.9</w:t>
            </w:r>
          </w:p>
        </w:tc>
        <w:tc>
          <w:tcPr>
            <w:tcW w:w="60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13"/>
        </w:trPr>
        <w:tc>
          <w:tcPr>
            <w:tcW w:w="4820" w:type="dxa"/>
            <w:vAlign w:val="bottom"/>
            <w:tcBorders>
              <w:left w:val="single" w:sz="8" w:color="C0C0C0"/>
            </w:tcBorders>
          </w:tcPr>
          <w:p>
            <w:pPr>
              <w:spacing w:after="0" w:line="113" w:lineRule="exact"/>
              <w:rPr>
                <w:sz w:val="20"/>
                <w:szCs w:val="20"/>
                <w:color w:val="auto"/>
              </w:rPr>
            </w:pPr>
            <w:r>
              <w:rPr>
                <w:rFonts w:ascii="Arial" w:cs="Arial" w:eastAsia="Arial" w:hAnsi="Arial"/>
                <w:sz w:val="10"/>
                <w:szCs w:val="10"/>
                <w:color w:val="auto"/>
              </w:rPr>
              <w:t>Export volumes (3)</w:t>
            </w:r>
          </w:p>
        </w:tc>
        <w:tc>
          <w:tcPr>
            <w:tcW w:w="106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213.1</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Arial" w:cs="Arial" w:eastAsia="Arial" w:hAnsi="Arial"/>
                <w:sz w:val="10"/>
                <w:szCs w:val="10"/>
                <w:color w:val="auto"/>
              </w:rPr>
              <w:t>201.9</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11.2</w:t>
            </w:r>
          </w:p>
        </w:tc>
        <w:tc>
          <w:tcPr>
            <w:tcW w:w="600" w:type="dxa"/>
            <w:vAlign w:val="bottom"/>
          </w:tcPr>
          <w:p>
            <w:pPr>
              <w:spacing w:after="0"/>
              <w:rPr>
                <w:sz w:val="9"/>
                <w:szCs w:val="9"/>
                <w:color w:val="auto"/>
              </w:rPr>
            </w:pPr>
          </w:p>
        </w:tc>
        <w:tc>
          <w:tcPr>
            <w:tcW w:w="74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13"/>
        </w:trPr>
        <w:tc>
          <w:tcPr>
            <w:tcW w:w="4820" w:type="dxa"/>
            <w:vAlign w:val="bottom"/>
            <w:tcBorders>
              <w:left w:val="single" w:sz="8" w:color="CFF0FC"/>
            </w:tcBorders>
            <w:shd w:val="clear" w:color="auto" w:fill="CFF0FC"/>
          </w:tcPr>
          <w:p>
            <w:pPr>
              <w:spacing w:after="0" w:line="113" w:lineRule="exact"/>
              <w:rPr>
                <w:sz w:val="20"/>
                <w:szCs w:val="20"/>
                <w:color w:val="auto"/>
              </w:rPr>
            </w:pPr>
            <w:r>
              <w:rPr>
                <w:rFonts w:ascii="Arial" w:cs="Arial" w:eastAsia="Arial" w:hAnsi="Arial"/>
                <w:sz w:val="10"/>
                <w:szCs w:val="10"/>
                <w:color w:val="auto"/>
              </w:rPr>
              <w:t>NGL sales</w:t>
            </w:r>
          </w:p>
        </w:tc>
        <w:tc>
          <w:tcPr>
            <w:tcW w:w="106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586.2</w:t>
            </w: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514.8</w:t>
            </w: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71.4</w:t>
            </w:r>
          </w:p>
        </w:tc>
        <w:tc>
          <w:tcPr>
            <w:tcW w:w="60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13"/>
        </w:trPr>
        <w:tc>
          <w:tcPr>
            <w:tcW w:w="4820" w:type="dxa"/>
            <w:vAlign w:val="bottom"/>
          </w:tcPr>
          <w:p>
            <w:pPr>
              <w:spacing w:after="0" w:line="113" w:lineRule="exact"/>
              <w:rPr>
                <w:sz w:val="20"/>
                <w:szCs w:val="20"/>
                <w:color w:val="auto"/>
              </w:rPr>
            </w:pPr>
            <w:r>
              <w:rPr>
                <w:rFonts w:ascii="Arial" w:cs="Arial" w:eastAsia="Arial" w:hAnsi="Arial"/>
                <w:sz w:val="10"/>
                <w:szCs w:val="10"/>
                <w:b w:val="1"/>
                <w:bCs w:val="1"/>
                <w:color w:val="auto"/>
              </w:rPr>
              <w:t>Average realized prices:</w:t>
            </w: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820" w:type="dxa"/>
            <w:vAlign w:val="bottom"/>
            <w:tcBorders>
              <w:left w:val="single" w:sz="8" w:color="CFF0FC"/>
            </w:tcBorders>
            <w:shd w:val="clear" w:color="auto" w:fill="CFF0FC"/>
          </w:tcPr>
          <w:p>
            <w:pPr>
              <w:spacing w:after="0" w:line="113" w:lineRule="exact"/>
              <w:rPr>
                <w:sz w:val="20"/>
                <w:szCs w:val="20"/>
                <w:color w:val="auto"/>
              </w:rPr>
            </w:pPr>
            <w:r>
              <w:rPr>
                <w:rFonts w:ascii="Arial" w:cs="Arial" w:eastAsia="Arial" w:hAnsi="Arial"/>
                <w:sz w:val="10"/>
                <w:szCs w:val="10"/>
                <w:color w:val="auto"/>
              </w:rPr>
              <w:t>NGL realized price, $/gal</w:t>
            </w:r>
          </w:p>
        </w:tc>
        <w:tc>
          <w:tcPr>
            <w:tcW w:w="1060" w:type="dxa"/>
            <w:vAlign w:val="bottom"/>
            <w:shd w:val="clear" w:color="auto" w:fill="CFF0FC"/>
          </w:tcPr>
          <w:p>
            <w:pPr>
              <w:jc w:val="right"/>
              <w:ind w:right="790"/>
              <w:spacing w:after="0" w:line="113" w:lineRule="exact"/>
              <w:rPr>
                <w:sz w:val="20"/>
                <w:szCs w:val="20"/>
                <w:color w:val="auto"/>
              </w:rPr>
            </w:pPr>
            <w:r>
              <w:rPr>
                <w:rFonts w:ascii="Arial" w:cs="Arial" w:eastAsia="Arial" w:hAnsi="Arial"/>
                <w:sz w:val="10"/>
                <w:szCs w:val="10"/>
                <w:color w:val="auto"/>
              </w:rPr>
              <w:t>$</w:t>
            </w:r>
          </w:p>
        </w:tc>
        <w:tc>
          <w:tcPr>
            <w:tcW w:w="6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0.60</w:t>
            </w:r>
          </w:p>
        </w:tc>
        <w:tc>
          <w:tcPr>
            <w:tcW w:w="880" w:type="dxa"/>
            <w:vAlign w:val="bottom"/>
            <w:gridSpan w:val="2"/>
            <w:shd w:val="clear" w:color="auto" w:fill="CFF0FC"/>
          </w:tcPr>
          <w:p>
            <w:pPr>
              <w:jc w:val="right"/>
              <w:ind w:right="390"/>
              <w:spacing w:after="0" w:line="113" w:lineRule="exact"/>
              <w:rPr>
                <w:sz w:val="20"/>
                <w:szCs w:val="20"/>
                <w:color w:val="auto"/>
              </w:rPr>
            </w:pPr>
            <w:r>
              <w:rPr>
                <w:rFonts w:ascii="Arial" w:cs="Arial" w:eastAsia="Arial" w:hAnsi="Arial"/>
                <w:sz w:val="10"/>
                <w:szCs w:val="10"/>
                <w:color w:val="auto"/>
              </w:rPr>
              <w:t>$</w:t>
            </w:r>
          </w:p>
        </w:tc>
        <w:tc>
          <w:tcPr>
            <w:tcW w:w="10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0.76</w:t>
            </w: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450"/>
              <w:spacing w:after="0" w:line="113" w:lineRule="exact"/>
              <w:rPr>
                <w:sz w:val="20"/>
                <w:szCs w:val="20"/>
                <w:color w:val="auto"/>
              </w:rPr>
            </w:pPr>
            <w:r>
              <w:rPr>
                <w:rFonts w:ascii="Arial" w:cs="Arial" w:eastAsia="Arial" w:hAnsi="Arial"/>
                <w:sz w:val="10"/>
                <w:szCs w:val="10"/>
                <w:color w:val="auto"/>
              </w:rPr>
              <w:t>$</w:t>
            </w:r>
          </w:p>
        </w:tc>
        <w:tc>
          <w:tcPr>
            <w:tcW w:w="1280" w:type="dxa"/>
            <w:vAlign w:val="bottom"/>
            <w:gridSpan w:val="2"/>
            <w:shd w:val="clear" w:color="auto" w:fill="CFF0FC"/>
          </w:tcPr>
          <w:p>
            <w:pPr>
              <w:jc w:val="right"/>
              <w:ind w:right="560"/>
              <w:spacing w:after="0" w:line="113" w:lineRule="exact"/>
              <w:rPr>
                <w:sz w:val="20"/>
                <w:szCs w:val="20"/>
                <w:color w:val="auto"/>
              </w:rPr>
            </w:pPr>
            <w:r>
              <w:rPr>
                <w:rFonts w:ascii="Arial" w:cs="Arial" w:eastAsia="Arial" w:hAnsi="Arial"/>
                <w:sz w:val="10"/>
                <w:szCs w:val="10"/>
                <w:color w:val="auto"/>
              </w:rPr>
              <w:t>(0.16)</w:t>
            </w:r>
          </w:p>
        </w:tc>
        <w:tc>
          <w:tcPr>
            <w:tcW w:w="740" w:type="dxa"/>
            <w:vAlign w:val="bottom"/>
            <w:gridSpan w:val="2"/>
            <w:shd w:val="clear" w:color="auto" w:fill="CFF0FC"/>
          </w:tcPr>
          <w:p>
            <w:pPr>
              <w:jc w:val="right"/>
              <w:ind w:right="40"/>
              <w:spacing w:after="0" w:line="113" w:lineRule="exact"/>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5"/>
        <w:spacing w:after="0"/>
        <w:rPr>
          <w:sz w:val="20"/>
          <w:szCs w:val="20"/>
          <w:color w:val="auto"/>
        </w:rPr>
      </w:pPr>
      <w:r>
        <w:rPr>
          <w:rFonts w:ascii="Arial" w:cs="Arial" w:eastAsia="Arial" w:hAnsi="Arial"/>
          <w:sz w:val="8"/>
          <w:szCs w:val="8"/>
          <w:color w:val="auto"/>
        </w:rPr>
        <w:t>________________________________________________________</w:t>
      </w:r>
    </w:p>
    <w:p>
      <w:pPr>
        <w:spacing w:after="0" w:line="6" w:lineRule="exact"/>
        <w:rPr>
          <w:sz w:val="20"/>
          <w:szCs w:val="20"/>
          <w:color w:val="auto"/>
        </w:rPr>
      </w:pPr>
    </w:p>
    <w:p>
      <w:pPr>
        <w:ind w:left="525" w:right="20" w:hanging="525"/>
        <w:spacing w:after="0" w:line="234" w:lineRule="auto"/>
        <w:tabs>
          <w:tab w:leader="none" w:pos="525" w:val="left"/>
        </w:tabs>
        <w:numPr>
          <w:ilvl w:val="0"/>
          <w:numId w:val="27"/>
        </w:numPr>
        <w:rPr>
          <w:rFonts w:ascii="Arial" w:cs="Arial" w:eastAsia="Arial" w:hAnsi="Arial"/>
          <w:sz w:val="10"/>
          <w:szCs w:val="10"/>
          <w:color w:val="auto"/>
        </w:rPr>
      </w:pPr>
      <w:r>
        <w:rPr>
          <w:rFonts w:ascii="Arial" w:cs="Arial" w:eastAsia="Arial" w:hAnsi="Arial"/>
          <w:sz w:val="10"/>
          <w:szCs w:val="10"/>
          <w:color w:val="auto"/>
        </w:rPr>
        <w:t>Segment operating statistics include intersegment amounts, which have been eliminated from the consolidated presentation. For all volume statistics presented, the numerator is the total volume sold during the quarter and the denominator is the number of calendar days during the quarter.</w:t>
      </w:r>
    </w:p>
    <w:p>
      <w:pPr>
        <w:ind w:left="525" w:right="20" w:hanging="525"/>
        <w:spacing w:after="0" w:line="215" w:lineRule="auto"/>
        <w:tabs>
          <w:tab w:leader="none" w:pos="525" w:val="left"/>
        </w:tabs>
        <w:numPr>
          <w:ilvl w:val="0"/>
          <w:numId w:val="27"/>
        </w:numPr>
        <w:rPr>
          <w:rFonts w:ascii="Arial" w:cs="Arial" w:eastAsia="Arial" w:hAnsi="Arial"/>
          <w:sz w:val="10"/>
          <w:szCs w:val="10"/>
          <w:color w:val="auto"/>
        </w:rPr>
      </w:pPr>
      <w:r>
        <w:rPr>
          <w:rFonts w:ascii="Arial" w:cs="Arial" w:eastAsia="Arial" w:hAnsi="Arial"/>
          <w:sz w:val="10"/>
          <w:szCs w:val="10"/>
          <w:color w:val="auto"/>
        </w:rPr>
        <w:t>Fractionation contracts include pricing terms composed of base fees and fuel and power components that vary with the cost of energy. As such, the Logistics and Marketing segment results include effects of variable energy costs that impact both gross margin and operating expenses. Fractionation volumes for 2019 reflect volumes delivered and fractionated, whereas fractionation volumes for 2018 reflect volumes delivered and settled under fractionation contracts.</w:t>
      </w:r>
    </w:p>
    <w:p>
      <w:pPr>
        <w:ind w:left="525" w:hanging="525"/>
        <w:spacing w:after="0"/>
        <w:tabs>
          <w:tab w:leader="none" w:pos="525" w:val="left"/>
        </w:tabs>
        <w:numPr>
          <w:ilvl w:val="0"/>
          <w:numId w:val="27"/>
        </w:numPr>
        <w:rPr>
          <w:rFonts w:ascii="Arial" w:cs="Arial" w:eastAsia="Arial" w:hAnsi="Arial"/>
          <w:sz w:val="10"/>
          <w:szCs w:val="10"/>
          <w:color w:val="auto"/>
        </w:rPr>
      </w:pPr>
      <w:r>
        <w:rPr>
          <w:rFonts w:ascii="Arial" w:cs="Arial" w:eastAsia="Arial" w:hAnsi="Arial"/>
          <w:sz w:val="10"/>
          <w:szCs w:val="10"/>
          <w:color w:val="auto"/>
        </w:rPr>
        <w:t>Export volumes represent the quantity of NGL products delivered to third-party customers at our Galena Park Marine Terminal that are destined for international markets.</w:t>
      </w:r>
    </w:p>
    <w:p>
      <w:pPr>
        <w:spacing w:after="0" w:line="135" w:lineRule="exact"/>
        <w:rPr>
          <w:sz w:val="20"/>
          <w:szCs w:val="20"/>
          <w:color w:val="auto"/>
        </w:rPr>
      </w:pPr>
    </w:p>
    <w:p>
      <w:pPr>
        <w:ind w:left="5"/>
        <w:spacing w:after="0"/>
        <w:rPr>
          <w:sz w:val="20"/>
          <w:szCs w:val="20"/>
          <w:color w:val="auto"/>
        </w:rPr>
      </w:pPr>
      <w:r>
        <w:rPr>
          <w:rFonts w:ascii="Arial" w:cs="Arial" w:eastAsia="Arial" w:hAnsi="Arial"/>
          <w:sz w:val="13"/>
          <w:szCs w:val="13"/>
          <w:i w:val="1"/>
          <w:iCs w:val="1"/>
          <w:color w:val="auto"/>
        </w:rPr>
        <w:t>Three Months Ended March 31, 2019 Compared to Three Months Ended March 31, 2018</w:t>
      </w:r>
    </w:p>
    <w:p>
      <w:pPr>
        <w:spacing w:after="0" w:line="152" w:lineRule="exact"/>
        <w:rPr>
          <w:sz w:val="20"/>
          <w:szCs w:val="20"/>
          <w:color w:val="auto"/>
        </w:rPr>
      </w:pPr>
    </w:p>
    <w:p>
      <w:pPr>
        <w:jc w:val="both"/>
        <w:ind w:left="5"/>
        <w:spacing w:after="0" w:line="244" w:lineRule="auto"/>
        <w:rPr>
          <w:sz w:val="20"/>
          <w:szCs w:val="20"/>
          <w:color w:val="auto"/>
        </w:rPr>
      </w:pPr>
      <w:r>
        <w:rPr>
          <w:rFonts w:ascii="Arial" w:cs="Arial" w:eastAsia="Arial" w:hAnsi="Arial"/>
          <w:sz w:val="13"/>
          <w:szCs w:val="13"/>
          <w:color w:val="auto"/>
        </w:rPr>
        <w:t>Logistics and Marketing gross margin increased due to higher LPG export margin, higher fractionation margin, partially offset by lower terminaling and storage throughput, and lower commercial transportation margin. LPG export margin increased primarily due to higher volumes despite restrictions and temporary closures of the Houston Ship Channel during the quarter. Fractionation margin increased due to higher supply volume, partially offset by lower system product gains. Fractionation margin was partially impacted by the variable effects of fuel and power that are largely reflected in operating expenses (see footnote (2) above). Terminaling and storage throughput decreased due to the sale of certain petroleum logistics storage and terminaling facilities in the fourth quarter of 2018. Commercial transportation margin decreased due to the sale of the Company’s inland marine barge business in the second quarter of 2018.</w:t>
      </w:r>
    </w:p>
    <w:p>
      <w:pPr>
        <w:spacing w:after="0" w:line="143" w:lineRule="exact"/>
        <w:rPr>
          <w:sz w:val="20"/>
          <w:szCs w:val="20"/>
          <w:color w:val="auto"/>
        </w:rPr>
      </w:pPr>
    </w:p>
    <w:p>
      <w:pPr>
        <w:ind w:left="5"/>
        <w:spacing w:after="0"/>
        <w:rPr>
          <w:sz w:val="20"/>
          <w:szCs w:val="20"/>
          <w:color w:val="auto"/>
        </w:rPr>
      </w:pPr>
      <w:r>
        <w:rPr>
          <w:rFonts w:ascii="Arial" w:cs="Arial" w:eastAsia="Arial" w:hAnsi="Arial"/>
          <w:sz w:val="13"/>
          <w:szCs w:val="13"/>
          <w:color w:val="auto"/>
        </w:rPr>
        <w:t>Operating expenses decreased due to lower taxes and maintenance.</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3"/>
          <w:szCs w:val="13"/>
          <w:b w:val="1"/>
          <w:bCs w:val="1"/>
          <w:i w:val="1"/>
          <w:iCs w:val="1"/>
          <w:color w:val="auto"/>
        </w:rPr>
        <w:t>Other</w:t>
      </w:r>
    </w:p>
    <w:p>
      <w:pPr>
        <w:spacing w:after="0" w:line="202"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0"/>
                <w:szCs w:val="10"/>
                <w:b w:val="1"/>
                <w:bCs w:val="1"/>
                <w:color w:val="auto"/>
              </w:rPr>
              <w:t>Three Months Ended March 31,</w:t>
            </w:r>
          </w:p>
        </w:tc>
        <w:tc>
          <w:tcPr>
            <w:tcW w:w="15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2019 vs. 2018</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80" w:type="dxa"/>
            <w:vAlign w:val="bottom"/>
          </w:tcPr>
          <w:p>
            <w:pPr>
              <w:jc w:val="right"/>
              <w:ind w:right="190"/>
              <w:spacing w:after="0" w:line="103" w:lineRule="exact"/>
              <w:rPr>
                <w:sz w:val="20"/>
                <w:szCs w:val="20"/>
                <w:color w:val="auto"/>
              </w:rPr>
            </w:pPr>
            <w:r>
              <w:rPr>
                <w:rFonts w:ascii="Arial" w:cs="Arial" w:eastAsia="Arial" w:hAnsi="Arial"/>
                <w:sz w:val="10"/>
                <w:szCs w:val="10"/>
                <w:b w:val="1"/>
                <w:bCs w:val="1"/>
                <w:color w:val="auto"/>
              </w:rPr>
              <w:t>2019</w:t>
            </w: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540" w:type="dxa"/>
            <w:vAlign w:val="bottom"/>
          </w:tcPr>
          <w:p>
            <w:pPr>
              <w:jc w:val="right"/>
              <w:ind w:right="990"/>
              <w:spacing w:after="0" w:line="103" w:lineRule="exact"/>
              <w:rPr>
                <w:sz w:val="20"/>
                <w:szCs w:val="20"/>
                <w:color w:val="auto"/>
              </w:rPr>
            </w:pPr>
            <w:r>
              <w:rPr>
                <w:rFonts w:ascii="Arial" w:cs="Arial" w:eastAsia="Arial" w:hAnsi="Arial"/>
                <w:sz w:val="10"/>
                <w:szCs w:val="10"/>
                <w:b w:val="1"/>
                <w:bCs w:val="1"/>
                <w:color w:val="auto"/>
              </w:rPr>
              <w:t>2018</w:t>
            </w: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760" w:type="dxa"/>
            <w:vAlign w:val="bottom"/>
            <w:tcBorders>
              <w:top w:val="single" w:sz="8" w:color="auto"/>
            </w:tcBorders>
            <w:gridSpan w:val="2"/>
          </w:tcPr>
          <w:p>
            <w:pPr>
              <w:jc w:val="center"/>
              <w:ind w:right="960"/>
              <w:spacing w:after="0" w:line="103" w:lineRule="exact"/>
              <w:rPr>
                <w:sz w:val="20"/>
                <w:szCs w:val="20"/>
                <w:color w:val="auto"/>
              </w:rPr>
            </w:pPr>
            <w:r>
              <w:rPr>
                <w:rFonts w:ascii="Arial" w:cs="Arial" w:eastAsia="Arial" w:hAnsi="Arial"/>
                <w:sz w:val="10"/>
                <w:szCs w:val="10"/>
                <w:b w:val="1"/>
                <w:bCs w:val="1"/>
                <w:color w:val="auto"/>
                <w:w w:val="92"/>
              </w:rPr>
              <w:t>(In millions)</w:t>
            </w:r>
          </w:p>
        </w:tc>
        <w:tc>
          <w:tcPr>
            <w:tcW w:w="460" w:type="dxa"/>
            <w:vAlign w:val="bottom"/>
            <w:tcBorders>
              <w:top w:val="single" w:sz="8" w:color="auto"/>
            </w:tcBorders>
          </w:tcPr>
          <w:p>
            <w:pPr>
              <w:spacing w:after="0"/>
              <w:rPr>
                <w:sz w:val="8"/>
                <w:szCs w:val="8"/>
                <w:color w:val="auto"/>
              </w:rPr>
            </w:pPr>
          </w:p>
        </w:tc>
        <w:tc>
          <w:tcPr>
            <w:tcW w:w="1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38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Gross margin</w:t>
            </w:r>
          </w:p>
        </w:tc>
        <w:tc>
          <w:tcPr>
            <w:tcW w:w="1680" w:type="dxa"/>
            <w:vAlign w:val="bottom"/>
            <w:shd w:val="clear" w:color="auto" w:fill="CFF0FC"/>
          </w:tcPr>
          <w:p>
            <w:pPr>
              <w:spacing w:after="0"/>
              <w:rPr>
                <w:sz w:val="9"/>
                <w:szCs w:val="9"/>
                <w:color w:val="auto"/>
              </w:rPr>
            </w:pPr>
          </w:p>
        </w:tc>
        <w:tc>
          <w:tcPr>
            <w:tcW w:w="1480" w:type="dxa"/>
            <w:vAlign w:val="bottom"/>
            <w:shd w:val="clear" w:color="auto" w:fill="CFF0FC"/>
          </w:tcPr>
          <w:p>
            <w:pPr>
              <w:jc w:val="right"/>
              <w:ind w:right="1370"/>
              <w:spacing w:after="0" w:line="113" w:lineRule="exact"/>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2.1</w:t>
            </w: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630"/>
              <w:spacing w:after="0" w:line="113" w:lineRule="exact"/>
              <w:rPr>
                <w:sz w:val="20"/>
                <w:szCs w:val="20"/>
                <w:color w:val="auto"/>
              </w:rPr>
            </w:pPr>
            <w:r>
              <w:rPr>
                <w:rFonts w:ascii="Arial" w:cs="Arial" w:eastAsia="Arial" w:hAnsi="Arial"/>
                <w:sz w:val="10"/>
                <w:szCs w:val="10"/>
                <w:color w:val="auto"/>
                <w:w w:val="71"/>
              </w:rPr>
              <w:t>$</w:t>
            </w:r>
          </w:p>
        </w:tc>
        <w:tc>
          <w:tcPr>
            <w:tcW w:w="1760" w:type="dxa"/>
            <w:vAlign w:val="bottom"/>
            <w:gridSpan w:val="2"/>
            <w:shd w:val="clear" w:color="auto" w:fill="CFF0FC"/>
          </w:tcPr>
          <w:p>
            <w:pPr>
              <w:jc w:val="right"/>
              <w:ind w:right="180"/>
              <w:spacing w:after="0" w:line="113" w:lineRule="exact"/>
              <w:rPr>
                <w:sz w:val="20"/>
                <w:szCs w:val="20"/>
                <w:color w:val="auto"/>
              </w:rPr>
            </w:pPr>
            <w:r>
              <w:rPr>
                <w:rFonts w:ascii="Arial" w:cs="Arial" w:eastAsia="Arial" w:hAnsi="Arial"/>
                <w:sz w:val="10"/>
                <w:szCs w:val="10"/>
                <w:color w:val="auto"/>
              </w:rPr>
              <w:t>(17.8)</w:t>
            </w:r>
          </w:p>
        </w:tc>
        <w:tc>
          <w:tcPr>
            <w:tcW w:w="460" w:type="dxa"/>
            <w:vAlign w:val="bottom"/>
            <w:shd w:val="clear" w:color="auto" w:fill="CFF0FC"/>
          </w:tcPr>
          <w:p>
            <w:pPr>
              <w:jc w:val="right"/>
              <w:ind w:right="350"/>
              <w:spacing w:after="0" w:line="113" w:lineRule="exact"/>
              <w:rPr>
                <w:sz w:val="20"/>
                <w:szCs w:val="20"/>
                <w:color w:val="auto"/>
              </w:rPr>
            </w:pPr>
            <w:r>
              <w:rPr>
                <w:rFonts w:ascii="Arial" w:cs="Arial" w:eastAsia="Arial" w:hAnsi="Arial"/>
                <w:sz w:val="10"/>
                <w:szCs w:val="10"/>
                <w:color w:val="auto"/>
                <w:w w:val="71"/>
              </w:rPr>
              <w:t>$</w:t>
            </w:r>
          </w:p>
        </w:tc>
        <w:tc>
          <w:tcPr>
            <w:tcW w:w="18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19.9</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0"/>
                <w:szCs w:val="10"/>
                <w:color w:val="auto"/>
              </w:rPr>
              <w:t>Operating margin</w:t>
            </w:r>
          </w:p>
        </w:tc>
        <w:tc>
          <w:tcPr>
            <w:tcW w:w="168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38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480" w:type="dxa"/>
            <w:vAlign w:val="bottom"/>
          </w:tcPr>
          <w:p>
            <w:pPr>
              <w:jc w:val="right"/>
              <w:ind w:right="1370"/>
              <w:spacing w:after="0" w:line="103" w:lineRule="exact"/>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03" w:lineRule="exact"/>
              <w:rPr>
                <w:sz w:val="20"/>
                <w:szCs w:val="20"/>
                <w:color w:val="auto"/>
              </w:rPr>
            </w:pPr>
            <w:r>
              <w:rPr>
                <w:rFonts w:ascii="Arial" w:cs="Arial" w:eastAsia="Arial" w:hAnsi="Arial"/>
                <w:sz w:val="10"/>
                <w:szCs w:val="10"/>
                <w:color w:val="auto"/>
              </w:rPr>
              <w:t>2.1</w:t>
            </w:r>
          </w:p>
        </w:tc>
        <w:tc>
          <w:tcPr>
            <w:tcW w:w="220" w:type="dxa"/>
            <w:vAlign w:val="bottom"/>
            <w:vMerge w:val="continue"/>
          </w:tcPr>
          <w:p>
            <w:pPr>
              <w:spacing w:after="0"/>
              <w:rPr>
                <w:sz w:val="8"/>
                <w:szCs w:val="8"/>
                <w:color w:val="auto"/>
              </w:rPr>
            </w:pPr>
          </w:p>
        </w:tc>
        <w:tc>
          <w:tcPr>
            <w:tcW w:w="740" w:type="dxa"/>
            <w:vAlign w:val="bottom"/>
          </w:tcPr>
          <w:p>
            <w:pPr>
              <w:jc w:val="right"/>
              <w:ind w:right="630"/>
              <w:spacing w:after="0" w:line="103" w:lineRule="exact"/>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180"/>
              <w:spacing w:after="0" w:line="103" w:lineRule="exact"/>
              <w:rPr>
                <w:sz w:val="20"/>
                <w:szCs w:val="20"/>
                <w:color w:val="auto"/>
              </w:rPr>
            </w:pPr>
            <w:r>
              <w:rPr>
                <w:rFonts w:ascii="Arial" w:cs="Arial" w:eastAsia="Arial" w:hAnsi="Arial"/>
                <w:sz w:val="10"/>
                <w:szCs w:val="10"/>
                <w:color w:val="auto"/>
              </w:rPr>
              <w:t>(17.8)</w:t>
            </w:r>
          </w:p>
        </w:tc>
        <w:tc>
          <w:tcPr>
            <w:tcW w:w="460" w:type="dxa"/>
            <w:vAlign w:val="bottom"/>
          </w:tcPr>
          <w:p>
            <w:pPr>
              <w:jc w:val="right"/>
              <w:ind w:right="350"/>
              <w:spacing w:after="0" w:line="103" w:lineRule="exact"/>
              <w:rPr>
                <w:sz w:val="20"/>
                <w:szCs w:val="20"/>
                <w:color w:val="auto"/>
              </w:rPr>
            </w:pPr>
            <w:r>
              <w:rPr>
                <w:rFonts w:ascii="Arial" w:cs="Arial" w:eastAsia="Arial" w:hAnsi="Arial"/>
                <w:sz w:val="10"/>
                <w:szCs w:val="10"/>
                <w:color w:val="auto"/>
                <w:w w:val="71"/>
              </w:rPr>
              <w:t>$</w:t>
            </w:r>
          </w:p>
        </w:tc>
        <w:tc>
          <w:tcPr>
            <w:tcW w:w="1840" w:type="dxa"/>
            <w:vAlign w:val="bottom"/>
          </w:tcPr>
          <w:p>
            <w:pPr>
              <w:jc w:val="right"/>
              <w:spacing w:after="0" w:line="103" w:lineRule="exact"/>
              <w:rPr>
                <w:sz w:val="20"/>
                <w:szCs w:val="20"/>
                <w:color w:val="auto"/>
              </w:rPr>
            </w:pPr>
            <w:r>
              <w:rPr>
                <w:rFonts w:ascii="Arial" w:cs="Arial" w:eastAsia="Arial" w:hAnsi="Arial"/>
                <w:sz w:val="10"/>
                <w:szCs w:val="10"/>
                <w:color w:val="auto"/>
              </w:rPr>
              <w:t>19.9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32536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281" w:right="199" w:bottom="1440" w:gutter="0" w:footer="0" w:header="0"/>
        </w:sectPr>
      </w:pPr>
    </w:p>
    <w:bookmarkStart w:id="38" w:name="page39"/>
    <w:bookmarkEnd w:id="38"/>
    <w:p>
      <w:pPr>
        <w:jc w:val="both"/>
        <w:ind w:left="5"/>
        <w:spacing w:after="0" w:line="244" w:lineRule="auto"/>
        <w:rPr>
          <w:sz w:val="20"/>
          <w:szCs w:val="20"/>
          <w:color w:val="auto"/>
        </w:rPr>
      </w:pPr>
      <w:r>
        <w:rPr>
          <w:rFonts w:ascii="Arial" w:cs="Arial" w:eastAsia="Arial" w:hAnsi="Arial"/>
          <w:sz w:val="13"/>
          <w:szCs w:val="13"/>
          <w:color w:val="auto"/>
        </w:rPr>
        <w:t>Other contains the results of commodity derivative activities related to Gathering and Processing hedges of equity volumes that are included in operating margin and mark-to-market gain/losses related to derivative contracts that were not designated as cash flow hedges. The primary purpose of our commodity risk management activities is to mitigate a portion of the impact of commodity prices on our operating cash flow. We have entered into derivative instruments to hedge the commodity price associated with a portion of our expected natural gas, NGL and condensate equity volumes in our Gathering and Processing operations that result from percent of proceeds/liquids processing arrangements. Because we are essentially forward-selling a portion of our future plant equity volumes, these hedge positions will move favorably in periods of falling commodity prices and unfavorably in periods of rising commodity prices.</w:t>
      </w:r>
    </w:p>
    <w:p>
      <w:pPr>
        <w:spacing w:after="0" w:line="143"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 following table provides a breakdown of the change in Other operating margin:</w:t>
      </w:r>
    </w:p>
    <w:p>
      <w:pPr>
        <w:spacing w:after="0" w:line="202"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42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7"/>
          </w:tcPr>
          <w:p>
            <w:pPr>
              <w:jc w:val="center"/>
              <w:ind w:left="10"/>
              <w:spacing w:after="0"/>
              <w:rPr>
                <w:sz w:val="20"/>
                <w:szCs w:val="20"/>
                <w:color w:val="auto"/>
              </w:rPr>
            </w:pPr>
            <w:r>
              <w:rPr>
                <w:rFonts w:ascii="Arial" w:cs="Arial" w:eastAsia="Arial" w:hAnsi="Arial"/>
                <w:sz w:val="10"/>
                <w:szCs w:val="10"/>
                <w:b w:val="1"/>
                <w:bCs w:val="1"/>
                <w:color w:val="auto"/>
                <w:w w:val="92"/>
              </w:rPr>
              <w:t>Three Months Ended March 31, 2019</w:t>
            </w: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0"/>
                <w:szCs w:val="10"/>
                <w:b w:val="1"/>
                <w:bCs w:val="1"/>
                <w:color w:val="auto"/>
                <w:w w:val="92"/>
              </w:rPr>
              <w:t>Three Months Ended March 31, 2018</w:t>
            </w: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89"/>
              </w:rPr>
              <w:t>Price</w:t>
            </w:r>
          </w:p>
        </w:tc>
        <w:tc>
          <w:tcPr>
            <w:tcW w:w="2640" w:type="dxa"/>
            <w:vAlign w:val="bottom"/>
            <w:gridSpan w:val="6"/>
          </w:tcPr>
          <w:p>
            <w:pPr>
              <w:ind w:left="100"/>
              <w:spacing w:after="0"/>
              <w:rPr>
                <w:sz w:val="20"/>
                <w:szCs w:val="20"/>
                <w:color w:val="auto"/>
              </w:rPr>
            </w:pPr>
            <w:r>
              <w:rPr>
                <w:rFonts w:ascii="Arial" w:cs="Arial" w:eastAsia="Arial" w:hAnsi="Arial"/>
                <w:sz w:val="10"/>
                <w:szCs w:val="10"/>
                <w:b w:val="1"/>
                <w:bCs w:val="1"/>
                <w:color w:val="auto"/>
                <w:w w:val="96"/>
              </w:rPr>
              <w:t>(In millions, except volumetric data and price amounts)</w:t>
            </w:r>
          </w:p>
        </w:tc>
        <w:tc>
          <w:tcPr>
            <w:tcW w:w="180" w:type="dxa"/>
            <w:vAlign w:val="bottom"/>
          </w:tcPr>
          <w:p>
            <w:pPr>
              <w:spacing w:after="0"/>
              <w:rPr>
                <w:sz w:val="10"/>
                <w:szCs w:val="10"/>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89"/>
              </w:rPr>
              <w:t>Price</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4240" w:type="dxa"/>
            <w:vAlign w:val="bottom"/>
          </w:tcPr>
          <w:p>
            <w:pPr>
              <w:spacing w:after="0"/>
              <w:rPr>
                <w:sz w:val="8"/>
                <w:szCs w:val="8"/>
                <w:color w:val="auto"/>
              </w:rPr>
            </w:pPr>
          </w:p>
        </w:tc>
        <w:tc>
          <w:tcPr>
            <w:tcW w:w="700" w:type="dxa"/>
            <w:vAlign w:val="bottom"/>
          </w:tcPr>
          <w:p>
            <w:pPr>
              <w:jc w:val="center"/>
              <w:ind w:left="210"/>
              <w:spacing w:after="0" w:line="104" w:lineRule="exact"/>
              <w:rPr>
                <w:sz w:val="20"/>
                <w:szCs w:val="20"/>
                <w:color w:val="auto"/>
              </w:rPr>
            </w:pPr>
            <w:r>
              <w:rPr>
                <w:rFonts w:ascii="Arial" w:cs="Arial" w:eastAsia="Arial" w:hAnsi="Arial"/>
                <w:sz w:val="10"/>
                <w:szCs w:val="10"/>
                <w:b w:val="1"/>
                <w:bCs w:val="1"/>
                <w:color w:val="auto"/>
                <w:w w:val="88"/>
              </w:rPr>
              <w:t>Volume</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center"/>
              <w:ind w:right="320"/>
              <w:spacing w:after="0" w:line="104" w:lineRule="exact"/>
              <w:rPr>
                <w:sz w:val="20"/>
                <w:szCs w:val="20"/>
                <w:color w:val="auto"/>
              </w:rPr>
            </w:pPr>
            <w:r>
              <w:rPr>
                <w:rFonts w:ascii="Arial" w:cs="Arial" w:eastAsia="Arial" w:hAnsi="Arial"/>
                <w:sz w:val="10"/>
                <w:szCs w:val="10"/>
                <w:b w:val="1"/>
                <w:bCs w:val="1"/>
                <w:color w:val="auto"/>
                <w:w w:val="88"/>
              </w:rPr>
              <w:t>Spread</w:t>
            </w: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right"/>
              <w:ind w:right="660"/>
              <w:spacing w:after="0" w:line="104" w:lineRule="exact"/>
              <w:rPr>
                <w:sz w:val="20"/>
                <w:szCs w:val="20"/>
                <w:color w:val="auto"/>
              </w:rPr>
            </w:pPr>
            <w:r>
              <w:rPr>
                <w:rFonts w:ascii="Arial" w:cs="Arial" w:eastAsia="Arial" w:hAnsi="Arial"/>
                <w:sz w:val="10"/>
                <w:szCs w:val="10"/>
                <w:b w:val="1"/>
                <w:bCs w:val="1"/>
                <w:color w:val="auto"/>
              </w:rPr>
              <w:t>Gain</w:t>
            </w:r>
          </w:p>
        </w:tc>
        <w:tc>
          <w:tcPr>
            <w:tcW w:w="124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88"/>
              </w:rPr>
              <w:t>Volume</w:t>
            </w:r>
          </w:p>
        </w:tc>
        <w:tc>
          <w:tcPr>
            <w:tcW w:w="180" w:type="dxa"/>
            <w:vAlign w:val="bottom"/>
          </w:tcPr>
          <w:p>
            <w:pPr>
              <w:spacing w:after="0"/>
              <w:rPr>
                <w:sz w:val="8"/>
                <w:szCs w:val="8"/>
                <w:color w:val="auto"/>
              </w:rPr>
            </w:pPr>
          </w:p>
        </w:tc>
        <w:tc>
          <w:tcPr>
            <w:tcW w:w="920" w:type="dxa"/>
            <w:vAlign w:val="bottom"/>
            <w:gridSpan w:val="2"/>
          </w:tcPr>
          <w:p>
            <w:pPr>
              <w:jc w:val="center"/>
              <w:ind w:right="340"/>
              <w:spacing w:after="0" w:line="104" w:lineRule="exact"/>
              <w:rPr>
                <w:sz w:val="20"/>
                <w:szCs w:val="20"/>
                <w:color w:val="auto"/>
              </w:rPr>
            </w:pPr>
            <w:r>
              <w:rPr>
                <w:rFonts w:ascii="Arial" w:cs="Arial" w:eastAsia="Arial" w:hAnsi="Arial"/>
                <w:sz w:val="10"/>
                <w:szCs w:val="10"/>
                <w:b w:val="1"/>
                <w:bCs w:val="1"/>
                <w:color w:val="auto"/>
                <w:w w:val="88"/>
              </w:rPr>
              <w:t>Spread</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right"/>
              <w:ind w:right="500"/>
              <w:spacing w:after="0" w:line="104" w:lineRule="exact"/>
              <w:rPr>
                <w:sz w:val="20"/>
                <w:szCs w:val="20"/>
                <w:color w:val="auto"/>
              </w:rPr>
            </w:pPr>
            <w:r>
              <w:rPr>
                <w:rFonts w:ascii="Arial" w:cs="Arial" w:eastAsia="Arial" w:hAnsi="Arial"/>
                <w:sz w:val="10"/>
                <w:szCs w:val="10"/>
                <w:b w:val="1"/>
                <w:bCs w:val="1"/>
                <w:color w:val="auto"/>
              </w:rPr>
              <w:t>Gain</w:t>
            </w:r>
          </w:p>
        </w:tc>
        <w:tc>
          <w:tcPr>
            <w:tcW w:w="0" w:type="dxa"/>
            <w:vAlign w:val="bottom"/>
          </w:tcPr>
          <w:p>
            <w:pPr>
              <w:spacing w:after="0"/>
              <w:rPr>
                <w:sz w:val="1"/>
                <w:szCs w:val="1"/>
                <w:color w:val="auto"/>
              </w:rPr>
            </w:pPr>
          </w:p>
        </w:tc>
      </w:tr>
      <w:tr>
        <w:trPr>
          <w:trHeight w:val="118"/>
        </w:trPr>
        <w:tc>
          <w:tcPr>
            <w:tcW w:w="4240" w:type="dxa"/>
            <w:vAlign w:val="bottom"/>
          </w:tcPr>
          <w:p>
            <w:pPr>
              <w:spacing w:after="0"/>
              <w:rPr>
                <w:sz w:val="10"/>
                <w:szCs w:val="10"/>
                <w:color w:val="auto"/>
              </w:rPr>
            </w:pPr>
          </w:p>
        </w:tc>
        <w:tc>
          <w:tcPr>
            <w:tcW w:w="700" w:type="dxa"/>
            <w:vAlign w:val="bottom"/>
          </w:tcPr>
          <w:p>
            <w:pPr>
              <w:jc w:val="center"/>
              <w:ind w:left="190"/>
              <w:spacing w:after="0"/>
              <w:rPr>
                <w:sz w:val="20"/>
                <w:szCs w:val="20"/>
                <w:color w:val="auto"/>
              </w:rPr>
            </w:pPr>
            <w:r>
              <w:rPr>
                <w:rFonts w:ascii="Arial" w:cs="Arial" w:eastAsia="Arial" w:hAnsi="Arial"/>
                <w:sz w:val="10"/>
                <w:szCs w:val="10"/>
                <w:b w:val="1"/>
                <w:bCs w:val="1"/>
                <w:color w:val="auto"/>
                <w:w w:val="89"/>
              </w:rPr>
              <w:t>Settled</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150"/>
              <w:spacing w:after="0"/>
              <w:rPr>
                <w:sz w:val="20"/>
                <w:szCs w:val="20"/>
                <w:color w:val="auto"/>
              </w:rPr>
            </w:pPr>
            <w:r>
              <w:rPr>
                <w:rFonts w:ascii="Arial" w:cs="Arial" w:eastAsia="Arial" w:hAnsi="Arial"/>
                <w:sz w:val="10"/>
                <w:szCs w:val="10"/>
                <w:b w:val="1"/>
                <w:bCs w:val="1"/>
                <w:color w:val="auto"/>
                <w:w w:val="97"/>
              </w:rPr>
              <w:t>(1)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(Loss)</w:t>
            </w:r>
          </w:p>
        </w:tc>
        <w:tc>
          <w:tcPr>
            <w:tcW w:w="12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Settled</w:t>
            </w:r>
          </w:p>
        </w:tc>
        <w:tc>
          <w:tcPr>
            <w:tcW w:w="180" w:type="dxa"/>
            <w:vAlign w:val="bottom"/>
          </w:tcPr>
          <w:p>
            <w:pPr>
              <w:spacing w:after="0"/>
              <w:rPr>
                <w:sz w:val="10"/>
                <w:szCs w:val="10"/>
                <w:color w:val="auto"/>
              </w:rPr>
            </w:pPr>
          </w:p>
        </w:tc>
        <w:tc>
          <w:tcPr>
            <w:tcW w:w="760" w:type="dxa"/>
            <w:vAlign w:val="bottom"/>
          </w:tcPr>
          <w:p>
            <w:pPr>
              <w:jc w:val="center"/>
              <w:ind w:right="130"/>
              <w:spacing w:after="0"/>
              <w:rPr>
                <w:sz w:val="20"/>
                <w:szCs w:val="20"/>
                <w:color w:val="auto"/>
              </w:rPr>
            </w:pPr>
            <w:r>
              <w:rPr>
                <w:rFonts w:ascii="Arial" w:cs="Arial" w:eastAsia="Arial" w:hAnsi="Arial"/>
                <w:sz w:val="10"/>
                <w:szCs w:val="10"/>
                <w:b w:val="1"/>
                <w:bCs w:val="1"/>
                <w:color w:val="auto"/>
                <w:w w:val="81"/>
              </w:rPr>
              <w:t>(1)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(Loss)</w:t>
            </w:r>
          </w:p>
        </w:tc>
        <w:tc>
          <w:tcPr>
            <w:tcW w:w="0" w:type="dxa"/>
            <w:vAlign w:val="bottom"/>
          </w:tcPr>
          <w:p>
            <w:pPr>
              <w:spacing w:after="0"/>
              <w:rPr>
                <w:sz w:val="1"/>
                <w:szCs w:val="1"/>
                <w:color w:val="auto"/>
              </w:rPr>
            </w:pPr>
          </w:p>
        </w:tc>
      </w:tr>
      <w:tr>
        <w:trPr>
          <w:trHeight w:val="102"/>
        </w:trPr>
        <w:tc>
          <w:tcPr>
            <w:tcW w:w="424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Natural gas (BBtu)</w:t>
            </w:r>
          </w:p>
        </w:tc>
        <w:tc>
          <w:tcPr>
            <w:tcW w:w="70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12.1</w:t>
            </w:r>
          </w:p>
        </w:tc>
        <w:tc>
          <w:tcPr>
            <w:tcW w:w="30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0.72</w:t>
            </w:r>
          </w:p>
        </w:tc>
        <w:tc>
          <w:tcPr>
            <w:tcW w:w="10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8.7</w:t>
            </w:r>
          </w:p>
        </w:tc>
        <w:tc>
          <w:tcPr>
            <w:tcW w:w="280" w:type="dxa"/>
            <w:vAlign w:val="bottom"/>
            <w:tcBorders>
              <w:top w:val="single" w:sz="8" w:color="CFF0FC"/>
            </w:tcBorders>
            <w:shd w:val="clear" w:color="auto" w:fill="CFF0FC"/>
          </w:tcPr>
          <w:p>
            <w:pPr>
              <w:spacing w:after="0"/>
              <w:rPr>
                <w:sz w:val="8"/>
                <w:szCs w:val="8"/>
                <w:color w:val="auto"/>
              </w:rPr>
            </w:pPr>
          </w:p>
        </w:tc>
        <w:tc>
          <w:tcPr>
            <w:tcW w:w="9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17.4</w:t>
            </w:r>
          </w:p>
        </w:tc>
        <w:tc>
          <w:tcPr>
            <w:tcW w:w="28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0.33</w:t>
            </w:r>
          </w:p>
        </w:tc>
        <w:tc>
          <w:tcPr>
            <w:tcW w:w="16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5.8</w:t>
            </w: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940" w:type="dxa"/>
            <w:vAlign w:val="bottom"/>
            <w:gridSpan w:val="2"/>
          </w:tcPr>
          <w:p>
            <w:pPr>
              <w:spacing w:after="0" w:line="113" w:lineRule="exact"/>
              <w:rPr>
                <w:sz w:val="20"/>
                <w:szCs w:val="20"/>
                <w:color w:val="auto"/>
              </w:rPr>
            </w:pPr>
            <w:r>
              <w:rPr>
                <w:rFonts w:ascii="Arial" w:cs="Arial" w:eastAsia="Arial" w:hAnsi="Arial"/>
                <w:sz w:val="10"/>
                <w:szCs w:val="10"/>
                <w:color w:val="auto"/>
              </w:rPr>
              <w:t>NGL (MMgal)</w:t>
            </w:r>
          </w:p>
        </w:tc>
        <w:tc>
          <w:tcPr>
            <w:tcW w:w="240" w:type="dxa"/>
            <w:vAlign w:val="bottom"/>
          </w:tcPr>
          <w:p>
            <w:pPr>
              <w:jc w:val="right"/>
              <w:spacing w:after="0" w:line="113" w:lineRule="exact"/>
              <w:rPr>
                <w:sz w:val="20"/>
                <w:szCs w:val="20"/>
                <w:color w:val="auto"/>
              </w:rPr>
            </w:pPr>
            <w:r>
              <w:rPr>
                <w:rFonts w:ascii="Arial" w:cs="Arial" w:eastAsia="Arial" w:hAnsi="Arial"/>
                <w:sz w:val="10"/>
                <w:szCs w:val="10"/>
                <w:color w:val="auto"/>
              </w:rPr>
              <w:t>69.4</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0.01</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0.5</w:t>
            </w:r>
          </w:p>
        </w:tc>
        <w:tc>
          <w:tcPr>
            <w:tcW w:w="28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87.2</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(0.11)</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(9.4)</w:t>
            </w:r>
          </w:p>
        </w:tc>
        <w:tc>
          <w:tcPr>
            <w:tcW w:w="0" w:type="dxa"/>
            <w:vAlign w:val="bottom"/>
          </w:tcPr>
          <w:p>
            <w:pPr>
              <w:spacing w:after="0"/>
              <w:rPr>
                <w:sz w:val="1"/>
                <w:szCs w:val="1"/>
                <w:color w:val="auto"/>
              </w:rPr>
            </w:pPr>
          </w:p>
        </w:tc>
      </w:tr>
      <w:tr>
        <w:trPr>
          <w:trHeight w:val="113"/>
        </w:trPr>
        <w:tc>
          <w:tcPr>
            <w:tcW w:w="4940" w:type="dxa"/>
            <w:vAlign w:val="bottom"/>
            <w:gridSpan w:val="2"/>
            <w:shd w:val="clear" w:color="auto" w:fill="CFF0FC"/>
          </w:tcPr>
          <w:p>
            <w:pPr>
              <w:spacing w:after="0" w:line="113" w:lineRule="exact"/>
              <w:rPr>
                <w:sz w:val="20"/>
                <w:szCs w:val="20"/>
                <w:color w:val="auto"/>
              </w:rPr>
            </w:pPr>
            <w:r>
              <w:rPr>
                <w:rFonts w:ascii="Arial" w:cs="Arial" w:eastAsia="Arial" w:hAnsi="Arial"/>
                <w:sz w:val="10"/>
                <w:szCs w:val="10"/>
                <w:color w:val="auto"/>
              </w:rPr>
              <w:t>Crude oil (MBbl)</w:t>
            </w:r>
          </w:p>
        </w:tc>
        <w:tc>
          <w:tcPr>
            <w:tcW w:w="2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0.3</w:t>
            </w: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(0.04)</w:t>
            </w: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96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0.4</w:t>
            </w: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120"/>
              <w:spacing w:after="0" w:line="113" w:lineRule="exact"/>
              <w:rPr>
                <w:sz w:val="20"/>
                <w:szCs w:val="20"/>
                <w:color w:val="auto"/>
              </w:rPr>
            </w:pPr>
            <w:r>
              <w:rPr>
                <w:rFonts w:ascii="Arial" w:cs="Arial" w:eastAsia="Arial" w:hAnsi="Arial"/>
                <w:sz w:val="10"/>
                <w:szCs w:val="10"/>
                <w:color w:val="auto"/>
              </w:rPr>
              <w:t>(10.30)</w:t>
            </w: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(4.6)</w:t>
            </w:r>
          </w:p>
        </w:tc>
        <w:tc>
          <w:tcPr>
            <w:tcW w:w="0" w:type="dxa"/>
            <w:vAlign w:val="bottom"/>
          </w:tcPr>
          <w:p>
            <w:pPr>
              <w:spacing w:after="0"/>
              <w:rPr>
                <w:sz w:val="1"/>
                <w:szCs w:val="1"/>
                <w:color w:val="auto"/>
              </w:rPr>
            </w:pPr>
          </w:p>
        </w:tc>
      </w:tr>
      <w:tr>
        <w:trPr>
          <w:trHeight w:val="113"/>
        </w:trPr>
        <w:tc>
          <w:tcPr>
            <w:tcW w:w="4940" w:type="dxa"/>
            <w:vAlign w:val="bottom"/>
            <w:gridSpan w:val="2"/>
          </w:tcPr>
          <w:p>
            <w:pPr>
              <w:spacing w:after="0" w:line="113" w:lineRule="exact"/>
              <w:rPr>
                <w:sz w:val="20"/>
                <w:szCs w:val="20"/>
                <w:color w:val="auto"/>
              </w:rPr>
            </w:pPr>
            <w:r>
              <w:rPr>
                <w:rFonts w:ascii="Arial" w:cs="Arial" w:eastAsia="Arial" w:hAnsi="Arial"/>
                <w:sz w:val="10"/>
                <w:szCs w:val="10"/>
                <w:color w:val="auto"/>
              </w:rPr>
              <w:t>Non-hedge accounting (2)</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240"/>
              <w:spacing w:after="0" w:line="113" w:lineRule="exact"/>
              <w:rPr>
                <w:sz w:val="20"/>
                <w:szCs w:val="20"/>
                <w:color w:val="auto"/>
              </w:rPr>
            </w:pPr>
            <w:r>
              <w:rPr>
                <w:rFonts w:ascii="Arial" w:cs="Arial" w:eastAsia="Arial" w:hAnsi="Arial"/>
                <w:sz w:val="10"/>
                <w:szCs w:val="10"/>
                <w:color w:val="auto"/>
              </w:rPr>
              <w:t>(7.1)</w:t>
            </w: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(9.6)</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24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jc w:val="right"/>
              <w:ind w:right="115"/>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2.1</w:t>
            </w:r>
          </w:p>
        </w:tc>
        <w:tc>
          <w:tcPr>
            <w:tcW w:w="2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4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FF0FC"/>
          </w:tcPr>
          <w:p>
            <w:pPr>
              <w:jc w:val="right"/>
              <w:ind w:right="80"/>
              <w:spacing w:after="0" w:line="103" w:lineRule="exact"/>
              <w:rPr>
                <w:sz w:val="20"/>
                <w:szCs w:val="20"/>
                <w:color w:val="auto"/>
              </w:rPr>
            </w:pPr>
            <w:r>
              <w:rPr>
                <w:rFonts w:ascii="Arial" w:cs="Arial" w:eastAsia="Arial" w:hAnsi="Arial"/>
                <w:sz w:val="10"/>
                <w:szCs w:val="10"/>
                <w:color w:val="auto"/>
              </w:rPr>
              <w:t>(17.8)</w:t>
            </w:r>
          </w:p>
        </w:tc>
        <w:tc>
          <w:tcPr>
            <w:tcW w:w="0" w:type="dxa"/>
            <w:vAlign w:val="bottom"/>
          </w:tcPr>
          <w:p>
            <w:pPr>
              <w:spacing w:after="0"/>
              <w:rPr>
                <w:sz w:val="1"/>
                <w:szCs w:val="1"/>
                <w:color w:val="auto"/>
              </w:rPr>
            </w:pPr>
          </w:p>
        </w:tc>
      </w:tr>
      <w:tr>
        <w:trPr>
          <w:trHeight w:val="28"/>
        </w:trPr>
        <w:tc>
          <w:tcPr>
            <w:tcW w:w="424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ind w:left="525" w:hanging="525"/>
        <w:spacing w:after="0"/>
        <w:tabs>
          <w:tab w:leader="none" w:pos="525" w:val="left"/>
        </w:tabs>
        <w:numPr>
          <w:ilvl w:val="0"/>
          <w:numId w:val="28"/>
        </w:numPr>
        <w:rPr>
          <w:rFonts w:ascii="Arial" w:cs="Arial" w:eastAsia="Arial" w:hAnsi="Arial"/>
          <w:sz w:val="10"/>
          <w:szCs w:val="10"/>
          <w:color w:val="auto"/>
        </w:rPr>
      </w:pPr>
      <w:r>
        <w:rPr>
          <w:rFonts w:ascii="Arial" w:cs="Arial" w:eastAsia="Arial" w:hAnsi="Arial"/>
          <w:sz w:val="10"/>
          <w:szCs w:val="10"/>
          <w:color w:val="auto"/>
        </w:rPr>
        <w:t>The price spread is the differential between the contracted derivative instrument pricing and the price of the corresponding settled commodity transaction.</w:t>
      </w:r>
    </w:p>
    <w:p>
      <w:pPr>
        <w:spacing w:after="0" w:line="5" w:lineRule="exact"/>
        <w:rPr>
          <w:rFonts w:ascii="Arial" w:cs="Arial" w:eastAsia="Arial" w:hAnsi="Arial"/>
          <w:sz w:val="10"/>
          <w:szCs w:val="10"/>
          <w:color w:val="auto"/>
        </w:rPr>
      </w:pPr>
    </w:p>
    <w:p>
      <w:pPr>
        <w:ind w:left="525" w:hanging="525"/>
        <w:spacing w:after="0"/>
        <w:tabs>
          <w:tab w:leader="none" w:pos="525" w:val="left"/>
        </w:tabs>
        <w:numPr>
          <w:ilvl w:val="0"/>
          <w:numId w:val="28"/>
        </w:numPr>
        <w:rPr>
          <w:rFonts w:ascii="Arial" w:cs="Arial" w:eastAsia="Arial" w:hAnsi="Arial"/>
          <w:sz w:val="10"/>
          <w:szCs w:val="10"/>
          <w:color w:val="auto"/>
        </w:rPr>
      </w:pPr>
      <w:r>
        <w:rPr>
          <w:rFonts w:ascii="Arial" w:cs="Arial" w:eastAsia="Arial" w:hAnsi="Arial"/>
          <w:sz w:val="10"/>
          <w:szCs w:val="10"/>
          <w:color w:val="auto"/>
        </w:rPr>
        <w:t>Mark-to-market income (loss) associated with derivative contracts that are not designated as hedges for accounting purposes.</w:t>
      </w:r>
    </w:p>
    <w:p>
      <w:pPr>
        <w:spacing w:after="0" w:line="135" w:lineRule="exact"/>
        <w:rPr>
          <w:sz w:val="20"/>
          <w:szCs w:val="20"/>
          <w:color w:val="auto"/>
        </w:rPr>
      </w:pPr>
    </w:p>
    <w:p>
      <w:pPr>
        <w:ind w:left="5"/>
        <w:spacing w:after="0"/>
        <w:rPr>
          <w:sz w:val="20"/>
          <w:szCs w:val="20"/>
          <w:color w:val="auto"/>
        </w:rPr>
      </w:pPr>
      <w:r>
        <w:rPr>
          <w:rFonts w:ascii="Arial" w:cs="Arial" w:eastAsia="Arial" w:hAnsi="Arial"/>
          <w:sz w:val="13"/>
          <w:szCs w:val="13"/>
          <w:b w:val="1"/>
          <w:bCs w:val="1"/>
          <w:i w:val="1"/>
          <w:iCs w:val="1"/>
          <w:color w:val="auto"/>
        </w:rPr>
        <w:t>Liquidity and Capital Resources</w:t>
      </w:r>
    </w:p>
    <w:p>
      <w:pPr>
        <w:spacing w:after="0" w:line="152" w:lineRule="exact"/>
        <w:rPr>
          <w:sz w:val="20"/>
          <w:szCs w:val="20"/>
          <w:color w:val="auto"/>
        </w:rPr>
      </w:pPr>
    </w:p>
    <w:p>
      <w:pPr>
        <w:jc w:val="both"/>
        <w:ind w:left="5" w:right="20"/>
        <w:spacing w:after="0" w:line="344" w:lineRule="auto"/>
        <w:rPr>
          <w:sz w:val="20"/>
          <w:szCs w:val="20"/>
          <w:color w:val="auto"/>
        </w:rPr>
      </w:pPr>
      <w:r>
        <w:rPr>
          <w:rFonts w:ascii="Arial" w:cs="Arial" w:eastAsia="Arial" w:hAnsi="Arial"/>
          <w:sz w:val="11"/>
          <w:szCs w:val="11"/>
          <w:color w:val="auto"/>
        </w:rPr>
        <w:t>As of March 31, 2019, we had $111.7 million of “Cash and cash equivalents,” on our Consolidated Balance Sheets. We believe our cash position, remaining borrowing capacity on our credit facilities (discussed below in “Short-term Liquidity”), and our cash flows from operating activities are adequate to allow us to manage our day-to-day cash requirements and anticipated obligations as discussed further below.</w:t>
      </w:r>
    </w:p>
    <w:p>
      <w:pPr>
        <w:spacing w:after="0" w:line="14" w:lineRule="exact"/>
        <w:rPr>
          <w:sz w:val="20"/>
          <w:szCs w:val="20"/>
          <w:color w:val="auto"/>
        </w:rPr>
      </w:pPr>
    </w:p>
    <w:p>
      <w:pPr>
        <w:jc w:val="both"/>
        <w:ind w:left="5"/>
        <w:spacing w:after="0" w:line="248" w:lineRule="auto"/>
        <w:rPr>
          <w:sz w:val="20"/>
          <w:szCs w:val="20"/>
          <w:color w:val="auto"/>
        </w:rPr>
      </w:pPr>
      <w:r>
        <w:rPr>
          <w:rFonts w:ascii="Arial" w:cs="Arial" w:eastAsia="Arial" w:hAnsi="Arial"/>
          <w:sz w:val="13"/>
          <w:szCs w:val="13"/>
          <w:color w:val="auto"/>
        </w:rPr>
        <w:t>Our ability to finance our operations, including funding capital expenditures and acquisitions, meeting our indebtedness obligations, refinancing our indebtedness and meeting our collateral requirements, will depend on our ability to generate cash in the future. Our ability to generate cash is subject to a number of factors, some of which are beyond our control. These include commodity prices, weather and ongoing efforts to manage operating costs and maintenance capital expenditures, as well as general economic, financial, competitive, legislative, regulatory and other factors.</w:t>
      </w:r>
    </w:p>
    <w:p>
      <w:pPr>
        <w:spacing w:after="0" w:line="139" w:lineRule="exact"/>
        <w:rPr>
          <w:sz w:val="20"/>
          <w:szCs w:val="20"/>
          <w:color w:val="auto"/>
        </w:rPr>
      </w:pPr>
    </w:p>
    <w:p>
      <w:pPr>
        <w:jc w:val="both"/>
        <w:ind w:left="5"/>
        <w:spacing w:after="0" w:line="246" w:lineRule="auto"/>
        <w:rPr>
          <w:sz w:val="20"/>
          <w:szCs w:val="20"/>
          <w:color w:val="auto"/>
        </w:rPr>
      </w:pPr>
      <w:r>
        <w:rPr>
          <w:rFonts w:ascii="Arial" w:cs="Arial" w:eastAsia="Arial" w:hAnsi="Arial"/>
          <w:sz w:val="13"/>
          <w:szCs w:val="13"/>
          <w:color w:val="auto"/>
        </w:rPr>
        <w:t>Our main sources of liquidity and capital resources are internally generated cash flows from operations, contributions from TRC that are funded through TRC’s access to debt and equity markets, borrowings under the TRP Revolver and the Securitization Facility, and access to debt markets. We supplement these sources of liquidity with joint venture arrangements and proceeds from asset sales. For companies involved in hydrocarbon production, transportation and other oil and gas related services, the capital markets have experienced and may continue to experience volatility. Our exposure to adverse credit conditions includes our credit facility, cash investments, hedging abilities, customer performance risks and counterparty performance risks.</w:t>
      </w:r>
    </w:p>
    <w:p>
      <w:pPr>
        <w:sectPr>
          <w:pgSz w:w="11900" w:h="16838" w:orient="portrait"/>
          <w:cols w:equalWidth="0" w:num="1">
            <w:col w:w="11485"/>
          </w:cols>
          <w:pgMar w:left="215" w:top="309" w:right="199" w:bottom="1440" w:gutter="0" w:footer="0" w:header="0"/>
        </w:sectPr>
      </w:pPr>
    </w:p>
    <w:p>
      <w:pPr>
        <w:spacing w:after="0" w:line="140" w:lineRule="exact"/>
        <w:rPr>
          <w:sz w:val="20"/>
          <w:szCs w:val="20"/>
          <w:color w:val="auto"/>
        </w:rPr>
      </w:pPr>
    </w:p>
    <w:p>
      <w:pPr>
        <w:ind w:left="5"/>
        <w:spacing w:after="0"/>
        <w:rPr>
          <w:sz w:val="20"/>
          <w:szCs w:val="20"/>
          <w:color w:val="auto"/>
        </w:rPr>
      </w:pPr>
      <w:r>
        <w:rPr>
          <w:rFonts w:ascii="Arial" w:cs="Arial" w:eastAsia="Arial" w:hAnsi="Arial"/>
          <w:sz w:val="13"/>
          <w:szCs w:val="13"/>
          <w:b w:val="1"/>
          <w:bCs w:val="1"/>
          <w:i w:val="1"/>
          <w:iCs w:val="1"/>
          <w:color w:val="auto"/>
        </w:rPr>
        <w:t>Short-term Liquidity</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3"/>
          <w:szCs w:val="13"/>
          <w:color w:val="auto"/>
        </w:rPr>
        <w:t>Our short-term liquidity as of May 3, 2019 was:</w:t>
      </w:r>
    </w:p>
    <w:p>
      <w:pPr>
        <w:spacing w:after="0" w:line="392" w:lineRule="exact"/>
        <w:rPr>
          <w:sz w:val="20"/>
          <w:szCs w:val="20"/>
          <w:color w:val="auto"/>
        </w:rPr>
      </w:pPr>
    </w:p>
    <w:p>
      <w:pPr>
        <w:ind w:left="1145"/>
        <w:spacing w:after="0"/>
        <w:rPr>
          <w:sz w:val="20"/>
          <w:szCs w:val="20"/>
          <w:color w:val="auto"/>
        </w:rPr>
      </w:pPr>
      <w:r>
        <w:rPr>
          <w:rFonts w:ascii="Arial" w:cs="Arial" w:eastAsia="Arial" w:hAnsi="Arial"/>
          <w:sz w:val="10"/>
          <w:szCs w:val="10"/>
          <w:color w:val="auto"/>
        </w:rPr>
        <w:t>Cash on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-70485</wp:posOffset>
            </wp:positionV>
            <wp:extent cx="5830570" cy="71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30570" cy="71755"/>
                    </a:xfrm>
                    <a:prstGeom prst="rect">
                      <a:avLst/>
                    </a:prstGeom>
                    <a:noFill/>
                  </pic:spPr>
                </pic:pic>
              </a:graphicData>
            </a:graphic>
          </wp:anchor>
        </w:drawing>
      </w:r>
    </w:p>
    <w:p>
      <w:pPr>
        <w:ind w:left="1145"/>
        <w:spacing w:after="0"/>
        <w:rPr>
          <w:sz w:val="20"/>
          <w:szCs w:val="20"/>
          <w:color w:val="auto"/>
        </w:rPr>
      </w:pPr>
      <w:r>
        <w:rPr>
          <w:rFonts w:ascii="Arial" w:cs="Arial" w:eastAsia="Arial" w:hAnsi="Arial"/>
          <w:sz w:val="10"/>
          <w:szCs w:val="10"/>
          <w:color w:val="auto"/>
        </w:rPr>
        <w:t>Total availability under the TRP Revolver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-2540</wp:posOffset>
            </wp:positionV>
            <wp:extent cx="5830570" cy="71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30570" cy="71755"/>
                    </a:xfrm>
                    <a:prstGeom prst="rect">
                      <a:avLst/>
                    </a:prstGeom>
                    <a:noFill/>
                  </pic:spPr>
                </pic:pic>
              </a:graphicData>
            </a:graphic>
          </wp:anchor>
        </w:drawing>
      </w:r>
    </w:p>
    <w:p>
      <w:pPr>
        <w:ind w:left="1145"/>
        <w:spacing w:after="0"/>
        <w:rPr>
          <w:sz w:val="20"/>
          <w:szCs w:val="20"/>
          <w:color w:val="auto"/>
        </w:rPr>
      </w:pPr>
      <w:r>
        <w:rPr>
          <w:rFonts w:ascii="Arial" w:cs="Arial" w:eastAsia="Arial" w:hAnsi="Arial"/>
          <w:sz w:val="10"/>
          <w:szCs w:val="10"/>
          <w:color w:val="auto"/>
        </w:rPr>
        <w:t>Total availability under the Securitization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73025</wp:posOffset>
            </wp:positionV>
            <wp:extent cx="5830570" cy="71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30570" cy="71755"/>
                    </a:xfrm>
                    <a:prstGeom prst="rect">
                      <a:avLst/>
                    </a:prstGeom>
                    <a:noFill/>
                  </pic:spPr>
                </pic:pic>
              </a:graphicData>
            </a:graphic>
          </wp:anchor>
        </w:drawing>
      </w:r>
    </w:p>
    <w:p>
      <w:pPr>
        <w:spacing w:after="0" w:line="205" w:lineRule="exact"/>
        <w:rPr>
          <w:sz w:val="20"/>
          <w:szCs w:val="20"/>
          <w:color w:val="auto"/>
        </w:rPr>
      </w:pPr>
    </w:p>
    <w:p>
      <w:pPr>
        <w:jc w:val="both"/>
        <w:ind w:left="1145"/>
        <w:spacing w:after="0"/>
        <w:tabs>
          <w:tab w:leader="none" w:pos="1704" w:val="left"/>
        </w:tabs>
        <w:rPr>
          <w:sz w:val="20"/>
          <w:szCs w:val="20"/>
          <w:color w:val="auto"/>
        </w:rPr>
      </w:pPr>
      <w:r>
        <w:rPr>
          <w:rFonts w:ascii="Arial" w:cs="Arial" w:eastAsia="Arial" w:hAnsi="Arial"/>
          <w:sz w:val="10"/>
          <w:szCs w:val="10"/>
          <w:color w:val="auto"/>
        </w:rPr>
        <w:t>Less:</w:t>
      </w:r>
      <w:r>
        <w:rPr>
          <w:sz w:val="20"/>
          <w:szCs w:val="20"/>
          <w:color w:val="auto"/>
        </w:rPr>
        <w:tab/>
      </w:r>
      <w:r>
        <w:rPr>
          <w:rFonts w:ascii="Arial" w:cs="Arial" w:eastAsia="Arial" w:hAnsi="Arial"/>
          <w:sz w:val="10"/>
          <w:szCs w:val="10"/>
          <w:color w:val="auto"/>
        </w:rPr>
        <w:t>Outstanding borrowings under the TRP Revolver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635</wp:posOffset>
            </wp:positionV>
            <wp:extent cx="5830570" cy="71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30570" cy="71755"/>
                    </a:xfrm>
                    <a:prstGeom prst="rect">
                      <a:avLst/>
                    </a:prstGeom>
                    <a:noFill/>
                  </pic:spPr>
                </pic:pic>
              </a:graphicData>
            </a:graphic>
          </wp:anchor>
        </w:drawing>
      </w:r>
    </w:p>
    <w:p>
      <w:pPr>
        <w:ind w:left="1725"/>
        <w:spacing w:after="0"/>
        <w:rPr>
          <w:sz w:val="20"/>
          <w:szCs w:val="20"/>
          <w:color w:val="auto"/>
        </w:rPr>
      </w:pPr>
      <w:r>
        <w:rPr>
          <w:rFonts w:ascii="Arial" w:cs="Arial" w:eastAsia="Arial" w:hAnsi="Arial"/>
          <w:sz w:val="9"/>
          <w:szCs w:val="9"/>
          <w:color w:val="auto"/>
        </w:rPr>
        <w:t>Outstanding borrowings under the Securitization Facility</w:t>
      </w:r>
    </w:p>
    <w:p>
      <w:pPr>
        <w:spacing w:after="0" w:line="9" w:lineRule="exact"/>
        <w:rPr>
          <w:sz w:val="20"/>
          <w:szCs w:val="20"/>
          <w:color w:val="auto"/>
        </w:rPr>
      </w:pPr>
    </w:p>
    <w:p>
      <w:pPr>
        <w:ind w:left="1725"/>
        <w:spacing w:after="0"/>
        <w:rPr>
          <w:sz w:val="20"/>
          <w:szCs w:val="20"/>
          <w:color w:val="auto"/>
        </w:rPr>
      </w:pPr>
      <w:r>
        <w:rPr>
          <w:rFonts w:ascii="Arial" w:cs="Arial" w:eastAsia="Arial" w:hAnsi="Arial"/>
          <w:sz w:val="9"/>
          <w:szCs w:val="9"/>
          <w:color w:val="auto"/>
        </w:rPr>
        <w:t>Outstanding letters of credit under the TRP Revolver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3175</wp:posOffset>
            </wp:positionV>
            <wp:extent cx="5830570" cy="838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30570" cy="83820"/>
                    </a:xfrm>
                    <a:prstGeom prst="rect">
                      <a:avLst/>
                    </a:prstGeom>
                    <a:noFill/>
                  </pic:spPr>
                </pic:pic>
              </a:graphicData>
            </a:graphic>
          </wp:anchor>
        </w:drawing>
      </w:r>
    </w:p>
    <w:p>
      <w:pPr>
        <w:ind w:left="1725"/>
        <w:spacing w:after="0"/>
        <w:rPr>
          <w:sz w:val="20"/>
          <w:szCs w:val="20"/>
          <w:color w:val="auto"/>
        </w:rPr>
      </w:pPr>
      <w:r>
        <w:rPr>
          <w:rFonts w:ascii="Arial" w:cs="Arial" w:eastAsia="Arial" w:hAnsi="Arial"/>
          <w:sz w:val="10"/>
          <w:szCs w:val="10"/>
          <w:color w:val="auto"/>
        </w:rPr>
        <w:t>Total liquidity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320" w:type="dxa"/>
            <w:vAlign w:val="bottom"/>
          </w:tcPr>
          <w:p>
            <w:pPr>
              <w:spacing w:after="0"/>
              <w:rPr>
                <w:sz w:val="10"/>
                <w:szCs w:val="10"/>
                <w:color w:val="auto"/>
              </w:rPr>
            </w:pPr>
          </w:p>
        </w:tc>
        <w:tc>
          <w:tcPr>
            <w:tcW w:w="1360" w:type="dxa"/>
            <w:vAlign w:val="bottom"/>
          </w:tcPr>
          <w:p>
            <w:pPr>
              <w:ind w:left="260"/>
              <w:spacing w:after="0"/>
              <w:rPr>
                <w:sz w:val="20"/>
                <w:szCs w:val="20"/>
                <w:color w:val="auto"/>
              </w:rPr>
            </w:pPr>
            <w:r>
              <w:rPr>
                <w:rFonts w:ascii="Arial" w:cs="Arial" w:eastAsia="Arial" w:hAnsi="Arial"/>
                <w:sz w:val="10"/>
                <w:szCs w:val="10"/>
                <w:b w:val="1"/>
                <w:bCs w:val="1"/>
                <w:color w:val="auto"/>
              </w:rPr>
              <w:t>May 3, 2019</w:t>
            </w:r>
          </w:p>
        </w:tc>
      </w:tr>
      <w:tr>
        <w:trPr>
          <w:trHeight w:val="115"/>
        </w:trPr>
        <w:tc>
          <w:tcPr>
            <w:tcW w:w="320" w:type="dxa"/>
            <w:vAlign w:val="bottom"/>
          </w:tcPr>
          <w:p>
            <w:pPr>
              <w:spacing w:after="0"/>
              <w:rPr>
                <w:sz w:val="9"/>
                <w:szCs w:val="9"/>
                <w:color w:val="auto"/>
              </w:rPr>
            </w:pPr>
          </w:p>
        </w:tc>
        <w:tc>
          <w:tcPr>
            <w:tcW w:w="1360" w:type="dxa"/>
            <w:vAlign w:val="bottom"/>
          </w:tcPr>
          <w:p>
            <w:pPr>
              <w:ind w:left="260"/>
              <w:spacing w:after="0"/>
              <w:rPr>
                <w:sz w:val="20"/>
                <w:szCs w:val="20"/>
                <w:color w:val="auto"/>
              </w:rPr>
            </w:pPr>
            <w:r>
              <w:rPr>
                <w:rFonts w:ascii="Arial" w:cs="Arial" w:eastAsia="Arial" w:hAnsi="Arial"/>
                <w:sz w:val="10"/>
                <w:szCs w:val="10"/>
                <w:b w:val="1"/>
                <w:bCs w:val="1"/>
                <w:color w:val="auto"/>
              </w:rPr>
              <w:t>(In millions)</w:t>
            </w:r>
          </w:p>
        </w:tc>
      </w:tr>
      <w:tr>
        <w:trPr>
          <w:trHeight w:val="121"/>
        </w:trPr>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0"/>
                <w:szCs w:val="10"/>
                <w:color w:val="auto"/>
              </w:rPr>
              <w:t>297.9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10693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69340" cy="5715"/>
                    </a:xfrm>
                    <a:prstGeom prst="rect">
                      <a:avLst/>
                    </a:prstGeom>
                    <a:noFill/>
                  </pic:spPr>
                </pic:pic>
              </a:graphicData>
            </a:graphic>
          </wp:anchor>
        </w:drawing>
      </w:r>
    </w:p>
    <w:p>
      <w:pPr>
        <w:jc w:val="right"/>
        <w:ind w:right="1260"/>
        <w:spacing w:after="0" w:line="235" w:lineRule="auto"/>
        <w:rPr>
          <w:sz w:val="20"/>
          <w:szCs w:val="20"/>
          <w:color w:val="auto"/>
        </w:rPr>
      </w:pPr>
      <w:r>
        <w:rPr>
          <w:rFonts w:ascii="Arial" w:cs="Arial" w:eastAsia="Arial" w:hAnsi="Arial"/>
          <w:sz w:val="10"/>
          <w:szCs w:val="10"/>
          <w:color w:val="auto"/>
        </w:rPr>
        <w:t>2,200.0</w:t>
      </w:r>
    </w:p>
    <w:p>
      <w:pPr>
        <w:jc w:val="right"/>
        <w:ind w:right="1260"/>
        <w:spacing w:after="0"/>
        <w:rPr>
          <w:sz w:val="20"/>
          <w:szCs w:val="20"/>
          <w:color w:val="auto"/>
        </w:rPr>
      </w:pPr>
      <w:r>
        <w:rPr>
          <w:rFonts w:ascii="Arial" w:cs="Arial" w:eastAsia="Arial" w:hAnsi="Arial"/>
          <w:sz w:val="10"/>
          <w:szCs w:val="10"/>
          <w:color w:val="auto"/>
        </w:rPr>
        <w:t>334.9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10693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69340" cy="57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0"/>
          <w:szCs w:val="10"/>
          <w:color w:val="auto"/>
        </w:rPr>
        <w:t>2,832.8</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0"/>
          <w:szCs w:val="10"/>
          <w:color w:val="auto"/>
        </w:rPr>
        <w:t>—</w:t>
      </w:r>
    </w:p>
    <w:p>
      <w:pPr>
        <w:spacing w:after="0" w:line="4" w:lineRule="exact"/>
        <w:rPr>
          <w:sz w:val="20"/>
          <w:szCs w:val="20"/>
          <w:color w:val="auto"/>
        </w:rPr>
      </w:pPr>
    </w:p>
    <w:p>
      <w:pPr>
        <w:jc w:val="right"/>
        <w:ind w:right="1220"/>
        <w:spacing w:after="0"/>
        <w:rPr>
          <w:sz w:val="20"/>
          <w:szCs w:val="20"/>
          <w:color w:val="auto"/>
        </w:rPr>
      </w:pPr>
      <w:r>
        <w:rPr>
          <w:rFonts w:ascii="Arial" w:cs="Arial" w:eastAsia="Arial" w:hAnsi="Arial"/>
          <w:sz w:val="10"/>
          <w:szCs w:val="10"/>
          <w:color w:val="auto"/>
        </w:rPr>
        <w:t>(300.0)</w:t>
      </w:r>
    </w:p>
    <w:p>
      <w:pPr>
        <w:jc w:val="right"/>
        <w:ind w:right="1220"/>
        <w:spacing w:after="0"/>
        <w:rPr>
          <w:sz w:val="20"/>
          <w:szCs w:val="20"/>
          <w:color w:val="auto"/>
        </w:rPr>
      </w:pPr>
      <w:r>
        <w:rPr>
          <w:rFonts w:ascii="Arial" w:cs="Arial" w:eastAsia="Arial" w:hAnsi="Arial"/>
          <w:sz w:val="10"/>
          <w:szCs w:val="10"/>
          <w:color w:val="auto"/>
        </w:rPr>
        <w:t>(66.0)</w:t>
      </w:r>
    </w:p>
    <w:p>
      <w:pPr>
        <w:spacing w:after="0" w:line="4" w:lineRule="exact"/>
        <w:rPr>
          <w:sz w:val="20"/>
          <w:szCs w:val="20"/>
          <w:color w:val="auto"/>
        </w:rPr>
      </w:pPr>
    </w:p>
    <w:p>
      <w:pPr>
        <w:ind w:left="1380" w:hanging="1373"/>
        <w:spacing w:after="0"/>
        <w:tabs>
          <w:tab w:leader="none" w:pos="1380" w:val="left"/>
        </w:tabs>
        <w:numPr>
          <w:ilvl w:val="0"/>
          <w:numId w:val="29"/>
        </w:numPr>
        <w:rPr>
          <w:rFonts w:ascii="Arial" w:cs="Arial" w:eastAsia="Arial" w:hAnsi="Arial"/>
          <w:sz w:val="10"/>
          <w:szCs w:val="10"/>
          <w:color w:val="auto"/>
        </w:rPr>
      </w:pPr>
      <w:r>
        <w:rPr>
          <w:rFonts w:ascii="Arial" w:cs="Arial" w:eastAsia="Arial" w:hAnsi="Arial"/>
          <w:sz w:val="10"/>
          <w:szCs w:val="10"/>
          <w:color w:val="auto"/>
        </w:rPr>
        <w:t>2,466.8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0693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693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25" w:space="720"/>
            <w:col w:w="2940"/>
          </w:cols>
          <w:pgMar w:left="215" w:top="309" w:right="199" w:bottom="1440" w:gutter="0" w:footer="0" w:header="0"/>
          <w:type w:val="continuous"/>
        </w:sectPr>
      </w:pPr>
    </w:p>
    <w:p>
      <w:pPr>
        <w:spacing w:after="0" w:line="117" w:lineRule="exact"/>
        <w:rPr>
          <w:sz w:val="20"/>
          <w:szCs w:val="20"/>
          <w:color w:val="auto"/>
        </w:rPr>
      </w:pPr>
    </w:p>
    <w:p>
      <w:pPr>
        <w:jc w:val="center"/>
        <w:ind w:right="-4"/>
        <w:spacing w:after="0"/>
        <w:rPr>
          <w:sz w:val="20"/>
          <w:szCs w:val="20"/>
          <w:color w:val="auto"/>
        </w:rPr>
      </w:pPr>
      <w:r>
        <w:rPr>
          <w:rFonts w:ascii="Arial" w:cs="Arial" w:eastAsia="Arial" w:hAnsi="Arial"/>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32536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309" w:right="1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3"/>
          <w:szCs w:val="13"/>
          <w:color w:val="auto"/>
        </w:rPr>
        <w:t>Other potential capital resources associated with our existing arrangements include:</w:t>
      </w:r>
    </w:p>
    <w:p>
      <w:pPr>
        <w:spacing w:after="0" w:line="76" w:lineRule="exact"/>
        <w:rPr>
          <w:sz w:val="20"/>
          <w:szCs w:val="20"/>
          <w:color w:val="auto"/>
        </w:rPr>
      </w:pPr>
    </w:p>
    <w:p>
      <w:pPr>
        <w:ind w:left="1040" w:hanging="527"/>
        <w:spacing w:after="0"/>
        <w:tabs>
          <w:tab w:leader="none" w:pos="10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right to request an additional $500 million in commitment increases under the TRP Revolver, subject to the terms therein. The TRP Revolver matures on June 29, 2023.</w:t>
      </w:r>
    </w:p>
    <w:p>
      <w:pPr>
        <w:spacing w:after="0" w:line="227"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A portion of our capital resources are allocated to letters of credit to satisfy certain counterparty credit requirements. These letters of credit reflect our non-investment grade status, as assigned to us by Moody’s and S&amp;P. They also reflect certain counterparties’ views of our financial condition and ability to satisfy our performance obligations, as well as commodity prices and other factors.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Working Capital</w:t>
      </w:r>
    </w:p>
    <w:p>
      <w:pPr>
        <w:spacing w:after="0" w:line="76" w:lineRule="exact"/>
        <w:rPr>
          <w:sz w:val="20"/>
          <w:szCs w:val="20"/>
          <w:color w:val="auto"/>
        </w:rPr>
      </w:pPr>
    </w:p>
    <w:p>
      <w:pPr>
        <w:jc w:val="both"/>
        <w:ind w:right="20"/>
        <w:spacing w:after="0" w:line="305" w:lineRule="auto"/>
        <w:rPr>
          <w:sz w:val="20"/>
          <w:szCs w:val="20"/>
          <w:color w:val="auto"/>
        </w:rPr>
      </w:pPr>
      <w:r>
        <w:rPr>
          <w:rFonts w:ascii="Arial" w:cs="Arial" w:eastAsia="Arial" w:hAnsi="Arial"/>
          <w:sz w:val="11"/>
          <w:szCs w:val="11"/>
          <w:color w:val="auto"/>
        </w:rPr>
        <w:t>Working capital is the amount by which current assets exceed current liabilities. On a consolidated basis, at the end of any given month, accounts receivable and payable tied to commodity sales and purchases are relatively balanced, with receivables from NGL customers being offset by plant settlements payable to producers. The factors that typically cause overall variability in our reported total working capital are: (i) our cash position; (ii) liquids inventory levels and valuation, which we closely manage; (iii) changes in payables and accruals related to major growth projects; (iv) changes in the fair value of the current portion of derivative contracts; (v) monthly swings in borrowings under the Securitization Facility; and (vi) major structural changes in our asset base or business operations, such as acquisitions or divestitures and certain organic growth projects.</w:t>
      </w:r>
    </w:p>
    <w:p>
      <w:pPr>
        <w:spacing w:after="0" w:line="110"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Working capital as of March 31, 2019 increased $516.0 million compared to December 31, 2018. The increase was primarily attributable to the February redemption of our 4⅛% Senior Notes due 2019, partially offset by a lower cash balance and a decrease in our net risk management asset position due to changes in forward prices of commodities.</w:t>
      </w:r>
    </w:p>
    <w:p>
      <w:pPr>
        <w:spacing w:after="0" w:line="135"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Based on our anticipated levels of operations and absent any disruptive events, we believe that internally generated cash flow, contributions from TRC, borrowings available under the TRP Revolver and the Securitization Facility and proceeds from debt offerings, as well as joint ventures and/or asset sales, should provide sufficient resources to finance our operations, capital expenditures, long-term debt obligations, collateral requirements and cash distributions to Targa for at least the next twelve months.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Long-term Financing</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In February 2018, we formed three development joint ventures (“DevCo JVs”) with investment vehicles affiliated with Stonepeak, which committed a maximum of approximately $960 million of capital to the DevCo JVs.</w:t>
      </w:r>
    </w:p>
    <w:p>
      <w:pPr>
        <w:spacing w:after="0" w:line="175"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As of March 31, 2019, total contributions from Stonepeak to the DevCo JVs were $701.3 million. As of March 31, 2019, total contributions from Blackstone to the Grand Prix Joint Venture were $265.0 million. These contributions from Stonepeak and Blackstone are included in noncontrolling interests.</w:t>
      </w:r>
    </w:p>
    <w:p>
      <w:pPr>
        <w:spacing w:after="0" w:line="135"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From time to time, we issue long-term debt securities, which we refer to as senior notes. Our senior notes issued to date, generally have similar terms other than interest rates, maturity dates and redemption premiums. As of March 31, 2019 and December 31, 2018, the aggregate principal amount outstanding of our senior notes and other various long-term debt obligations, including unamortized premiums, debt issuance costs and non-current liabilities of finance leases, was $6,683.5 million and $5,197.4 million, respectively.</w:t>
      </w:r>
    </w:p>
    <w:p>
      <w:pPr>
        <w:spacing w:after="0" w:line="139" w:lineRule="exact"/>
        <w:rPr>
          <w:sz w:val="20"/>
          <w:szCs w:val="20"/>
          <w:color w:val="auto"/>
        </w:rPr>
      </w:pPr>
    </w:p>
    <w:p>
      <w:pPr>
        <w:jc w:val="both"/>
        <w:spacing w:after="0" w:line="344" w:lineRule="auto"/>
        <w:rPr>
          <w:sz w:val="20"/>
          <w:szCs w:val="20"/>
          <w:color w:val="auto"/>
        </w:rPr>
      </w:pPr>
      <w:r>
        <w:rPr>
          <w:rFonts w:ascii="Arial" w:cs="Arial" w:eastAsia="Arial" w:hAnsi="Arial"/>
          <w:sz w:val="11"/>
          <w:szCs w:val="11"/>
          <w:color w:val="auto"/>
        </w:rPr>
        <w:t>The majority of our debt is fixed rate borrowings; however, we have some exposure to the risk of changes in interest rates, primarily as a result of the variable rate borrowings under the TRP Revolver and the Securitization Facility. We may enter into interest rate hedges with the intent to mitigate the impact of changes in interest rates on cash flows. As of March 31, 2019, we did not have any interest rate hedges.</w:t>
      </w: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January 2019, we issued $750.0 million of 6½% Senior Notes due July 2027 and $750.0 million of 6⅞% Senior Notes due January 2029, resulting in total net proceeds of $1,487.3 million. The net proceeds from the offerings were used to redeem in full our outstanding 4⅛% Senior Notes due 2019 at par value plus accrued interest through the redemption date and the remainder was used for general partnership purposes, which included repaying borrowings under our credit facilities.</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April 2019, we closed on the sale of a 45% interest in Targa Badlands LLC, the entity that holds substantially all of our assets in North Dakota, to funds managed by Blackstone for $1.6 billion in cash. We used the net cash proceeds to repay debt and for general corporate purposes, including funding our growth capital program. We continue to be the operator of Targa Badlands LLC and hold majority governance rights. Future growth capital of Targa Badlands LLC is expected to be funded on a pro rata ownership basis. Targa Badlands LLC will pay an MQD to Blackstone and Targa, with Blackstone having a priority right on such MQDs. Additionally, Blackstone’s capital contributions would have a liquidation preference upon a sale of Targa Badlands LLC.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40" w:name="page41"/>
    <w:bookmarkEnd w:id="40"/>
    <w:p>
      <w:pPr>
        <w:jc w:val="both"/>
        <w:spacing w:after="0" w:line="344" w:lineRule="auto"/>
        <w:rPr>
          <w:sz w:val="20"/>
          <w:szCs w:val="20"/>
          <w:color w:val="auto"/>
        </w:rPr>
      </w:pPr>
      <w:r>
        <w:rPr>
          <w:rFonts w:ascii="Arial" w:cs="Arial" w:eastAsia="Arial" w:hAnsi="Arial"/>
          <w:sz w:val="11"/>
          <w:szCs w:val="11"/>
          <w:color w:val="auto"/>
        </w:rPr>
        <w:t>To date, our debt balances have not adversely affected our operations, ability to grow or ability to repay or refinance indebtedness. For additional information about our debt-related transactions, see Note 9 - Debt Obligations to our consolidated financial statements. For information about our interest rate risk, see “Item 3. Quantitative and Qualitative Disclosures About Market Risk—Interest Rate Risk.”</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Distributions on our 5,000,000 Preferred Units are cumulative from the date of original issue in October 2015 and are payable monthly in arrears on the 15th day of each month of each year, when, as and if declared by the board of directors of our general partner. Distributions on our Preferred Units are payable out of amounts legally available at a rate equal to 9.0% per annum.</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and after November 1, 2020, distributions on our Preferred Units will accumulate at an annual floating rate equal to the one-month LIBOR plus a spread of 7.71%. At any time on or after November 1, 2020, we may redeem the Preferred Units, in whole or in part, from any source of funds legally available for such purpose, by paying $25.00 per unit plus an amount equal to all accumulated and unpaid distributions thereon to the date of redemption, whether or not declared. In addition, we (or a third party with our prior written consent) may redeem the Preferred Units following certain changes of control, as described in our Partnership Agreement. If we do not (or a third party with our prior written consent does not) exercise this option, then the Preferred Unitholders have the option to convert the Preferred Units into a number of common units per Preferred Unit as set forth in our Partnership Agreement.</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Compliance with Debt Covenants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2019, we were in compliance with the covenants contained in our various debt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Flow</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from Operating Activities</w:t>
      </w:r>
    </w:p>
    <w:p>
      <w:pPr>
        <w:spacing w:after="0" w:line="146" w:lineRule="exact"/>
        <w:rPr>
          <w:sz w:val="20"/>
          <w:szCs w:val="20"/>
          <w:color w:val="auto"/>
        </w:rPr>
      </w:pPr>
    </w:p>
    <w:tbl>
      <w:tblPr>
        <w:tblLayout w:type="fixed"/>
        <w:tblInd w:w="1780" w:type="dxa"/>
        <w:tblCellMar>
          <w:top w:w="0" w:type="dxa"/>
          <w:left w:w="0" w:type="dxa"/>
          <w:bottom w:w="0" w:type="dxa"/>
          <w:right w:w="0" w:type="dxa"/>
        </w:tblCellMar>
      </w:tblPr>
      <w:tr>
        <w:trPr>
          <w:trHeight w:val="118"/>
        </w:trPr>
        <w:tc>
          <w:tcPr>
            <w:tcW w:w="176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gridSpan w:val="2"/>
          </w:tcPr>
          <w:p>
            <w:pPr>
              <w:jc w:val="right"/>
              <w:ind w:right="1350"/>
              <w:spacing w:after="0"/>
              <w:rPr>
                <w:sz w:val="20"/>
                <w:szCs w:val="20"/>
                <w:color w:val="auto"/>
              </w:rPr>
            </w:pPr>
            <w:r>
              <w:rPr>
                <w:rFonts w:ascii="Arial" w:cs="Arial" w:eastAsia="Arial" w:hAnsi="Arial"/>
                <w:sz w:val="10"/>
                <w:szCs w:val="10"/>
                <w:b w:val="1"/>
                <w:bCs w:val="1"/>
                <w:color w:val="auto"/>
              </w:rPr>
              <w:t>Three Months Ended March 31,</w:t>
            </w:r>
          </w:p>
        </w:tc>
        <w:tc>
          <w:tcPr>
            <w:tcW w:w="72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52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2019 vs. 2018</w:t>
            </w:r>
          </w:p>
        </w:tc>
        <w:tc>
          <w:tcPr>
            <w:tcW w:w="0" w:type="dxa"/>
            <w:vAlign w:val="bottom"/>
          </w:tcPr>
          <w:p>
            <w:pPr>
              <w:spacing w:after="0"/>
              <w:rPr>
                <w:sz w:val="1"/>
                <w:szCs w:val="1"/>
                <w:color w:val="auto"/>
              </w:rPr>
            </w:pPr>
          </w:p>
        </w:tc>
      </w:tr>
      <w:tr>
        <w:trPr>
          <w:trHeight w:val="102"/>
        </w:trPr>
        <w:tc>
          <w:tcPr>
            <w:tcW w:w="1760" w:type="dxa"/>
            <w:vAlign w:val="bottom"/>
          </w:tcPr>
          <w:p>
            <w:pPr>
              <w:jc w:val="right"/>
              <w:ind w:right="322"/>
              <w:spacing w:after="0" w:line="103" w:lineRule="exact"/>
              <w:rPr>
                <w:sz w:val="20"/>
                <w:szCs w:val="20"/>
                <w:color w:val="auto"/>
              </w:rPr>
            </w:pPr>
            <w:r>
              <w:rPr>
                <w:rFonts w:ascii="Arial" w:cs="Arial" w:eastAsia="Arial" w:hAnsi="Arial"/>
                <w:sz w:val="10"/>
                <w:szCs w:val="10"/>
                <w:b w:val="1"/>
                <w:bCs w:val="1"/>
                <w:color w:val="auto"/>
              </w:rPr>
              <w:t>2019</w:t>
            </w:r>
          </w:p>
        </w:tc>
        <w:tc>
          <w:tcPr>
            <w:tcW w:w="1020" w:type="dxa"/>
            <w:vAlign w:val="bottom"/>
          </w:tcPr>
          <w:p>
            <w:pPr>
              <w:spacing w:after="0"/>
              <w:rPr>
                <w:sz w:val="8"/>
                <w:szCs w:val="8"/>
                <w:color w:val="auto"/>
              </w:rPr>
            </w:pPr>
          </w:p>
        </w:tc>
        <w:tc>
          <w:tcPr>
            <w:tcW w:w="2100" w:type="dxa"/>
            <w:vAlign w:val="bottom"/>
          </w:tcPr>
          <w:p>
            <w:pPr>
              <w:jc w:val="right"/>
              <w:ind w:right="450"/>
              <w:spacing w:after="0" w:line="103" w:lineRule="exact"/>
              <w:rPr>
                <w:sz w:val="20"/>
                <w:szCs w:val="20"/>
                <w:color w:val="auto"/>
              </w:rPr>
            </w:pPr>
            <w:r>
              <w:rPr>
                <w:rFonts w:ascii="Arial" w:cs="Arial" w:eastAsia="Arial" w:hAnsi="Arial"/>
                <w:sz w:val="10"/>
                <w:szCs w:val="10"/>
                <w:b w:val="1"/>
                <w:bCs w:val="1"/>
                <w:color w:val="auto"/>
              </w:rPr>
              <w:t>2018</w:t>
            </w: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100" w:type="dxa"/>
            <w:vAlign w:val="bottom"/>
            <w:tcBorders>
              <w:top w:val="single" w:sz="8" w:color="auto"/>
            </w:tcBorders>
          </w:tcPr>
          <w:p>
            <w:pPr>
              <w:jc w:val="right"/>
              <w:ind w:right="650"/>
              <w:spacing w:after="0" w:line="99" w:lineRule="exact"/>
              <w:rPr>
                <w:sz w:val="20"/>
                <w:szCs w:val="20"/>
                <w:color w:val="auto"/>
              </w:rPr>
            </w:pPr>
            <w:r>
              <w:rPr>
                <w:rFonts w:ascii="Arial" w:cs="Arial" w:eastAsia="Arial" w:hAnsi="Arial"/>
                <w:sz w:val="10"/>
                <w:szCs w:val="10"/>
                <w:b w:val="1"/>
                <w:bCs w:val="1"/>
                <w:color w:val="auto"/>
              </w:rPr>
              <w:t>(In millions)</w:t>
            </w:r>
          </w:p>
        </w:tc>
        <w:tc>
          <w:tcPr>
            <w:tcW w:w="7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760" w:type="dxa"/>
            <w:vAlign w:val="bottom"/>
          </w:tcPr>
          <w:p>
            <w:pPr>
              <w:jc w:val="right"/>
              <w:ind w:right="1682"/>
              <w:spacing w:after="0"/>
              <w:rPr>
                <w:sz w:val="20"/>
                <w:szCs w:val="20"/>
                <w:color w:val="auto"/>
              </w:rPr>
            </w:pPr>
            <w:r>
              <w:rPr>
                <w:rFonts w:ascii="Arial" w:cs="Arial" w:eastAsia="Arial" w:hAnsi="Arial"/>
                <w:sz w:val="5"/>
                <w:szCs w:val="5"/>
                <w:color w:val="auto"/>
                <w:w w:val="70"/>
              </w:rPr>
              <w:t>$</w:t>
            </w:r>
          </w:p>
        </w:tc>
        <w:tc>
          <w:tcPr>
            <w:tcW w:w="1020" w:type="dxa"/>
            <w:vAlign w:val="bottom"/>
          </w:tcPr>
          <w:p>
            <w:pPr>
              <w:jc w:val="right"/>
              <w:ind w:right="130"/>
              <w:spacing w:after="0"/>
              <w:rPr>
                <w:sz w:val="20"/>
                <w:szCs w:val="20"/>
                <w:color w:val="auto"/>
              </w:rPr>
            </w:pPr>
            <w:r>
              <w:rPr>
                <w:rFonts w:ascii="Arial" w:cs="Arial" w:eastAsia="Arial" w:hAnsi="Arial"/>
                <w:sz w:val="10"/>
                <w:szCs w:val="10"/>
                <w:color w:val="auto"/>
              </w:rPr>
              <w:t>307.6</w:t>
            </w:r>
          </w:p>
        </w:tc>
        <w:tc>
          <w:tcPr>
            <w:tcW w:w="2100" w:type="dxa"/>
            <w:vAlign w:val="bottom"/>
          </w:tcPr>
          <w:p>
            <w:pPr>
              <w:jc w:val="right"/>
              <w:ind w:right="1810"/>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354.2</w:t>
            </w:r>
          </w:p>
        </w:tc>
        <w:tc>
          <w:tcPr>
            <w:tcW w:w="7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1520" w:type="dxa"/>
            <w:vAlign w:val="bottom"/>
            <w:gridSpan w:val="2"/>
          </w:tcPr>
          <w:p>
            <w:pPr>
              <w:jc w:val="right"/>
              <w:spacing w:after="0"/>
              <w:rPr>
                <w:sz w:val="20"/>
                <w:szCs w:val="20"/>
                <w:color w:val="auto"/>
              </w:rPr>
            </w:pPr>
            <w:r>
              <w:rPr>
                <w:rFonts w:ascii="Arial" w:cs="Arial" w:eastAsia="Arial" w:hAnsi="Arial"/>
                <w:sz w:val="10"/>
                <w:szCs w:val="10"/>
                <w:color w:val="auto"/>
              </w:rPr>
              <w:t>(46.6)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305" w:lineRule="auto"/>
        <w:rPr>
          <w:sz w:val="20"/>
          <w:szCs w:val="20"/>
          <w:color w:val="auto"/>
        </w:rPr>
      </w:pPr>
      <w:r>
        <w:rPr>
          <w:rFonts w:ascii="Arial" w:cs="Arial" w:eastAsia="Arial" w:hAnsi="Arial"/>
          <w:sz w:val="11"/>
          <w:szCs w:val="11"/>
          <w:color w:val="auto"/>
        </w:rPr>
        <w:t>The primary drivers of cash flows from operating activities are (i) the collection of cash from customers from the sale of NGLs, natural gas and other petroleum commodities, as well as fees for gas processing, crude gathering, export, fractionation, terminaling, storage and transportation, (ii) the payment of amounts related to the purchase of NGLs and natural gas, (iii) changes in payables and accruals related to major growth projects; and (iv) the payment of other expenses, primarily field operating costs, general and administrative expense and interest expense. In addition, we use derivative instruments to manage our exposure to commodity price risk. Changes in the prices of the commodities we hedge impact our derivative settlements as well as our margin deposit requirements on unsettled futures contracts.</w:t>
      </w:r>
    </w:p>
    <w:p>
      <w:pPr>
        <w:spacing w:after="0" w:line="110"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Net cash provided by operations decreased in 2019 compared to 2018, primarily due to the increase in payments for operating and general and administrative expenses resulting from system expansions and higher compensation and benefits, and increases in interest payments due to higher average borrowings, partially offset by the impact of lower commodity prices and increased margin withdrawals related to our derivative contracts. Lower commodity prices resulted in lower product purchases, partially offset by lower cash collections from customers.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Used in Investing Activities</w:t>
      </w:r>
    </w:p>
    <w:p>
      <w:pPr>
        <w:spacing w:after="0" w:line="155" w:lineRule="exact"/>
        <w:rPr>
          <w:sz w:val="20"/>
          <w:szCs w:val="20"/>
          <w:color w:val="auto"/>
        </w:rPr>
      </w:pPr>
    </w:p>
    <w:tbl>
      <w:tblPr>
        <w:tblLayout w:type="fixed"/>
        <w:tblInd w:w="2020" w:type="dxa"/>
        <w:tblCellMar>
          <w:top w:w="0" w:type="dxa"/>
          <w:left w:w="0" w:type="dxa"/>
          <w:bottom w:w="0" w:type="dxa"/>
          <w:right w:w="0" w:type="dxa"/>
        </w:tblCellMar>
      </w:tblPr>
      <w:tr>
        <w:trPr>
          <w:trHeight w:val="118"/>
        </w:trPr>
        <w:tc>
          <w:tcPr>
            <w:tcW w:w="14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0"/>
                <w:szCs w:val="10"/>
                <w:b w:val="1"/>
                <w:bCs w:val="1"/>
                <w:color w:val="auto"/>
              </w:rPr>
              <w:t>Three Months Ended March 31,</w:t>
            </w:r>
          </w:p>
        </w:tc>
        <w:tc>
          <w:tcPr>
            <w:tcW w:w="15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40" w:type="dxa"/>
            <w:vAlign w:val="bottom"/>
            <w:gridSpan w:val="2"/>
            <w:vMerge w:val="restart"/>
          </w:tcPr>
          <w:p>
            <w:pPr>
              <w:jc w:val="right"/>
              <w:ind w:right="880"/>
              <w:spacing w:after="0"/>
              <w:rPr>
                <w:sz w:val="20"/>
                <w:szCs w:val="20"/>
                <w:color w:val="auto"/>
              </w:rPr>
            </w:pPr>
            <w:r>
              <w:rPr>
                <w:rFonts w:ascii="Arial" w:cs="Arial" w:eastAsia="Arial" w:hAnsi="Arial"/>
                <w:sz w:val="10"/>
                <w:szCs w:val="10"/>
                <w:b w:val="1"/>
                <w:bCs w:val="1"/>
                <w:color w:val="auto"/>
              </w:rPr>
              <w:t>2019 vs. 2018</w:t>
            </w:r>
          </w:p>
        </w:tc>
        <w:tc>
          <w:tcPr>
            <w:tcW w:w="0" w:type="dxa"/>
            <w:vAlign w:val="bottom"/>
          </w:tcPr>
          <w:p>
            <w:pPr>
              <w:spacing w:after="0"/>
              <w:rPr>
                <w:sz w:val="1"/>
                <w:szCs w:val="1"/>
                <w:color w:val="auto"/>
              </w:rPr>
            </w:pPr>
          </w:p>
        </w:tc>
      </w:tr>
      <w:tr>
        <w:trPr>
          <w:trHeight w:val="102"/>
        </w:trPr>
        <w:tc>
          <w:tcPr>
            <w:tcW w:w="1460" w:type="dxa"/>
            <w:vAlign w:val="bottom"/>
          </w:tcPr>
          <w:p>
            <w:pPr>
              <w:jc w:val="right"/>
              <w:ind w:right="190"/>
              <w:spacing w:after="0" w:line="103" w:lineRule="exact"/>
              <w:rPr>
                <w:sz w:val="20"/>
                <w:szCs w:val="20"/>
                <w:color w:val="auto"/>
              </w:rPr>
            </w:pPr>
            <w:r>
              <w:rPr>
                <w:rFonts w:ascii="Arial" w:cs="Arial" w:eastAsia="Arial" w:hAnsi="Arial"/>
                <w:sz w:val="10"/>
                <w:szCs w:val="10"/>
                <w:b w:val="1"/>
                <w:bCs w:val="1"/>
                <w:color w:val="auto"/>
              </w:rPr>
              <w:t>2019</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560" w:type="dxa"/>
            <w:vAlign w:val="bottom"/>
          </w:tcPr>
          <w:p>
            <w:pPr>
              <w:jc w:val="right"/>
              <w:ind w:right="970"/>
              <w:spacing w:after="0" w:line="103"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720" w:type="dxa"/>
            <w:vAlign w:val="bottom"/>
            <w:tcBorders>
              <w:top w:val="single" w:sz="8" w:color="auto"/>
            </w:tcBorders>
            <w:gridSpan w:val="2"/>
          </w:tcPr>
          <w:p>
            <w:pPr>
              <w:jc w:val="center"/>
              <w:ind w:right="840"/>
              <w:spacing w:after="0" w:line="99" w:lineRule="exact"/>
              <w:rPr>
                <w:sz w:val="20"/>
                <w:szCs w:val="20"/>
                <w:color w:val="auto"/>
              </w:rPr>
            </w:pPr>
            <w:r>
              <w:rPr>
                <w:rFonts w:ascii="Arial" w:cs="Arial" w:eastAsia="Arial" w:hAnsi="Arial"/>
                <w:sz w:val="10"/>
                <w:szCs w:val="10"/>
                <w:b w:val="1"/>
                <w:bCs w:val="1"/>
                <w:color w:val="auto"/>
                <w:w w:val="92"/>
              </w:rPr>
              <w:t>(In millions)</w:t>
            </w:r>
          </w:p>
        </w:tc>
        <w:tc>
          <w:tcPr>
            <w:tcW w:w="580" w:type="dxa"/>
            <w:vAlign w:val="bottom"/>
            <w:tcBorders>
              <w:top w:val="single" w:sz="8" w:color="auto"/>
            </w:tcBorders>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460" w:type="dxa"/>
            <w:vAlign w:val="bottom"/>
          </w:tcPr>
          <w:p>
            <w:pPr>
              <w:jc w:val="right"/>
              <w:ind w:right="13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90"/>
              <w:spacing w:after="0"/>
              <w:rPr>
                <w:sz w:val="20"/>
                <w:szCs w:val="20"/>
                <w:color w:val="auto"/>
              </w:rPr>
            </w:pPr>
            <w:r>
              <w:rPr>
                <w:rFonts w:ascii="Arial" w:cs="Arial" w:eastAsia="Arial" w:hAnsi="Arial"/>
                <w:sz w:val="10"/>
                <w:szCs w:val="10"/>
                <w:color w:val="auto"/>
              </w:rPr>
              <w:t>(1,068.8)</w:t>
            </w:r>
          </w:p>
        </w:tc>
        <w:tc>
          <w:tcPr>
            <w:tcW w:w="820" w:type="dxa"/>
            <w:vAlign w:val="bottom"/>
          </w:tcPr>
          <w:p>
            <w:pPr>
              <w:jc w:val="right"/>
              <w:ind w:right="590"/>
              <w:spacing w:after="0"/>
              <w:rPr>
                <w:sz w:val="20"/>
                <w:szCs w:val="20"/>
                <w:color w:val="auto"/>
              </w:rPr>
            </w:pPr>
            <w:r>
              <w:rPr>
                <w:rFonts w:ascii="Arial" w:cs="Arial" w:eastAsia="Arial" w:hAnsi="Arial"/>
                <w:sz w:val="10"/>
                <w:szCs w:val="10"/>
                <w:color w:val="auto"/>
              </w:rPr>
              <w:t>$</w:t>
            </w:r>
          </w:p>
        </w:tc>
        <w:tc>
          <w:tcPr>
            <w:tcW w:w="1720" w:type="dxa"/>
            <w:vAlign w:val="bottom"/>
            <w:gridSpan w:val="2"/>
          </w:tcPr>
          <w:p>
            <w:pPr>
              <w:jc w:val="right"/>
              <w:ind w:right="140"/>
              <w:spacing w:after="0"/>
              <w:rPr>
                <w:sz w:val="20"/>
                <w:szCs w:val="20"/>
                <w:color w:val="auto"/>
              </w:rPr>
            </w:pPr>
            <w:r>
              <w:rPr>
                <w:rFonts w:ascii="Arial" w:cs="Arial" w:eastAsia="Arial" w:hAnsi="Arial"/>
                <w:sz w:val="10"/>
                <w:szCs w:val="10"/>
                <w:color w:val="auto"/>
              </w:rPr>
              <w:t>(677.3)</w:t>
            </w:r>
          </w:p>
        </w:tc>
        <w:tc>
          <w:tcPr>
            <w:tcW w:w="580" w:type="dxa"/>
            <w:vAlign w:val="bottom"/>
          </w:tcPr>
          <w:p>
            <w:pPr>
              <w:jc w:val="right"/>
              <w:ind w:right="330"/>
              <w:spacing w:after="0"/>
              <w:rPr>
                <w:sz w:val="20"/>
                <w:szCs w:val="20"/>
                <w:color w:val="auto"/>
              </w:rPr>
            </w:pPr>
            <w:r>
              <w:rPr>
                <w:rFonts w:ascii="Arial" w:cs="Arial" w:eastAsia="Arial" w:hAnsi="Arial"/>
                <w:sz w:val="10"/>
                <w:szCs w:val="10"/>
                <w:color w:val="auto"/>
              </w:rPr>
              <w:t>$</w:t>
            </w:r>
          </w:p>
        </w:tc>
        <w:tc>
          <w:tcPr>
            <w:tcW w:w="1840" w:type="dxa"/>
            <w:vAlign w:val="bottom"/>
            <w:gridSpan w:val="2"/>
          </w:tcPr>
          <w:p>
            <w:pPr>
              <w:jc w:val="right"/>
              <w:spacing w:after="0"/>
              <w:rPr>
                <w:sz w:val="20"/>
                <w:szCs w:val="20"/>
                <w:color w:val="auto"/>
              </w:rPr>
            </w:pPr>
            <w:r>
              <w:rPr>
                <w:rFonts w:ascii="Arial" w:cs="Arial" w:eastAsia="Arial" w:hAnsi="Arial"/>
                <w:sz w:val="10"/>
                <w:szCs w:val="10"/>
                <w:color w:val="auto"/>
              </w:rPr>
              <w:t>(391.5)</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Cash used in investing activities increased in 2019 compared to 2018, primarily due to higher outlays for property, plant and equipment of $347.4 million, mainly related to the construction of Train 7 and Train 8, and additional processing plants and associated infrastructure in the Permian Basin. The change is also attributable to a $29.4 million increase in our contributions to unconsolidated affiliates essentially due to higher construction activities of GCX Pipeline, partially offset by lower construction activities of Little Missouri 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432" w:right="199" w:bottom="1440" w:gutter="0" w:footer="0" w:header="0"/>
        </w:sectPr>
      </w:pPr>
    </w:p>
    <w:bookmarkStart w:id="41" w:name="page42"/>
    <w:bookmarkEnd w:id="41"/>
    <w:p>
      <w:pPr>
        <w:spacing w:after="0"/>
        <w:rPr>
          <w:sz w:val="20"/>
          <w:szCs w:val="20"/>
          <w:color w:val="auto"/>
        </w:rPr>
      </w:pPr>
      <w:r>
        <w:rPr>
          <w:rFonts w:ascii="Arial" w:cs="Arial" w:eastAsia="Arial" w:hAnsi="Arial"/>
          <w:sz w:val="13"/>
          <w:szCs w:val="13"/>
          <w:i w:val="1"/>
          <w:iCs w:val="1"/>
          <w:color w:val="auto"/>
        </w:rPr>
        <w:t>Cash Flows from Financing Activities</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118"/>
        </w:trPr>
        <w:tc>
          <w:tcPr>
            <w:tcW w:w="3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0"/>
                <w:szCs w:val="10"/>
                <w:b w:val="1"/>
                <w:bCs w:val="1"/>
                <w:color w:val="auto"/>
              </w:rPr>
              <w:t>Three Months Ended March 31,</w:t>
            </w:r>
          </w:p>
        </w:tc>
        <w:tc>
          <w:tcPr>
            <w:tcW w:w="1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vMerge w:val="restart"/>
          </w:tcPr>
          <w:p>
            <w:pPr>
              <w:spacing w:after="0"/>
              <w:rPr>
                <w:sz w:val="20"/>
                <w:szCs w:val="20"/>
                <w:color w:val="auto"/>
              </w:rPr>
            </w:pPr>
            <w:r>
              <w:rPr>
                <w:rFonts w:ascii="Arial" w:cs="Arial" w:eastAsia="Arial" w:hAnsi="Arial"/>
                <w:sz w:val="10"/>
                <w:szCs w:val="10"/>
                <w:b w:val="1"/>
                <w:bCs w:val="1"/>
                <w:color w:val="auto"/>
              </w:rPr>
              <w:t>Source of Financing Activities, net</w:t>
            </w:r>
          </w:p>
        </w:tc>
        <w:tc>
          <w:tcPr>
            <w:tcW w:w="3140" w:type="dxa"/>
            <w:vAlign w:val="bottom"/>
            <w:gridSpan w:val="2"/>
          </w:tcPr>
          <w:p>
            <w:pPr>
              <w:jc w:val="right"/>
              <w:ind w:right="270"/>
              <w:spacing w:after="0"/>
              <w:rPr>
                <w:sz w:val="20"/>
                <w:szCs w:val="20"/>
                <w:color w:val="auto"/>
              </w:rPr>
            </w:pPr>
            <w:r>
              <w:rPr>
                <w:rFonts w:ascii="Arial" w:cs="Arial" w:eastAsia="Arial" w:hAnsi="Arial"/>
                <w:sz w:val="10"/>
                <w:szCs w:val="10"/>
                <w:b w:val="1"/>
                <w:bCs w:val="1"/>
                <w:color w:val="auto"/>
              </w:rPr>
              <w:t>2019</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tcPr>
          <w:p>
            <w:pPr>
              <w:jc w:val="right"/>
              <w:ind w:right="1090"/>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5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640" w:type="dxa"/>
            <w:vAlign w:val="bottom"/>
            <w:tcBorders>
              <w:top w:val="single" w:sz="8" w:color="auto"/>
            </w:tcBorders>
          </w:tcPr>
          <w:p>
            <w:pPr>
              <w:spacing w:after="0"/>
              <w:rPr>
                <w:sz w:val="8"/>
                <w:szCs w:val="8"/>
                <w:color w:val="auto"/>
              </w:rPr>
            </w:pPr>
          </w:p>
        </w:tc>
        <w:tc>
          <w:tcPr>
            <w:tcW w:w="2020" w:type="dxa"/>
            <w:vAlign w:val="bottom"/>
            <w:tcBorders>
              <w:top w:val="single" w:sz="8" w:color="auto"/>
            </w:tcBorders>
            <w:gridSpan w:val="3"/>
          </w:tcPr>
          <w:p>
            <w:pPr>
              <w:jc w:val="right"/>
              <w:ind w:right="715"/>
              <w:spacing w:after="0" w:line="103" w:lineRule="exact"/>
              <w:rPr>
                <w:sz w:val="20"/>
                <w:szCs w:val="20"/>
                <w:color w:val="auto"/>
              </w:rPr>
            </w:pPr>
            <w:r>
              <w:rPr>
                <w:rFonts w:ascii="Arial" w:cs="Arial" w:eastAsia="Arial" w:hAnsi="Arial"/>
                <w:sz w:val="10"/>
                <w:szCs w:val="10"/>
                <w:b w:val="1"/>
                <w:bCs w:val="1"/>
                <w:color w:val="auto"/>
              </w:rPr>
              <w:t>(In millions)</w:t>
            </w:r>
          </w:p>
        </w:tc>
        <w:tc>
          <w:tcPr>
            <w:tcW w:w="1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520" w:type="dxa"/>
            <w:vAlign w:val="bottom"/>
            <w:shd w:val="clear" w:color="auto" w:fill="CFF0FC"/>
          </w:tcPr>
          <w:p>
            <w:pPr>
              <w:spacing w:after="0"/>
              <w:rPr>
                <w:sz w:val="20"/>
                <w:szCs w:val="20"/>
                <w:color w:val="auto"/>
              </w:rPr>
            </w:pPr>
            <w:r>
              <w:rPr>
                <w:rFonts w:ascii="Arial" w:cs="Arial" w:eastAsia="Arial" w:hAnsi="Arial"/>
                <w:sz w:val="10"/>
                <w:szCs w:val="10"/>
                <w:color w:val="auto"/>
              </w:rPr>
              <w:t>Debt, including financing costs</w:t>
            </w:r>
          </w:p>
        </w:tc>
        <w:tc>
          <w:tcPr>
            <w:tcW w:w="3140" w:type="dxa"/>
            <w:vAlign w:val="bottom"/>
            <w:gridSpan w:val="2"/>
            <w:shd w:val="clear" w:color="auto" w:fill="CFF0FC"/>
          </w:tcPr>
          <w:p>
            <w:pPr>
              <w:jc w:val="right"/>
              <w:ind w:right="1530"/>
              <w:spacing w:after="0"/>
              <w:rPr>
                <w:sz w:val="20"/>
                <w:szCs w:val="20"/>
                <w:color w:val="auto"/>
              </w:rPr>
            </w:pPr>
            <w:r>
              <w:rPr>
                <w:rFonts w:ascii="Arial" w:cs="Arial" w:eastAsia="Arial" w:hAnsi="Arial"/>
                <w:sz w:val="10"/>
                <w:szCs w:val="1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732.7</w:t>
            </w: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755"/>
              <w:spacing w:after="0"/>
              <w:rPr>
                <w:sz w:val="20"/>
                <w:szCs w:val="20"/>
                <w:color w:val="auto"/>
              </w:rPr>
            </w:pPr>
            <w:r>
              <w:rPr>
                <w:rFonts w:ascii="Arial" w:cs="Arial" w:eastAsia="Arial" w:hAnsi="Arial"/>
                <w:sz w:val="5"/>
                <w:szCs w:val="5"/>
                <w:color w:val="auto"/>
                <w:w w:val="70"/>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310.0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520" w:type="dxa"/>
            <w:vAlign w:val="bottom"/>
          </w:tcPr>
          <w:p>
            <w:pPr>
              <w:spacing w:after="0" w:line="113" w:lineRule="exact"/>
              <w:rPr>
                <w:sz w:val="20"/>
                <w:szCs w:val="20"/>
                <w:color w:val="auto"/>
              </w:rPr>
            </w:pPr>
            <w:r>
              <w:rPr>
                <w:rFonts w:ascii="Arial" w:cs="Arial" w:eastAsia="Arial" w:hAnsi="Arial"/>
                <w:sz w:val="10"/>
                <w:szCs w:val="10"/>
                <w:color w:val="auto"/>
              </w:rPr>
              <w:t>Contributions from noncontrolling interests</w:t>
            </w:r>
          </w:p>
        </w:tc>
        <w:tc>
          <w:tcPr>
            <w:tcW w:w="15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0"/>
                <w:szCs w:val="10"/>
                <w:color w:val="auto"/>
              </w:rPr>
              <w:t>196.8</w:t>
            </w: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jc w:val="right"/>
              <w:spacing w:after="0" w:line="113" w:lineRule="exact"/>
              <w:rPr>
                <w:sz w:val="20"/>
                <w:szCs w:val="20"/>
                <w:color w:val="auto"/>
              </w:rPr>
            </w:pPr>
            <w:r>
              <w:rPr>
                <w:rFonts w:ascii="Arial" w:cs="Arial" w:eastAsia="Arial" w:hAnsi="Arial"/>
                <w:sz w:val="10"/>
                <w:szCs w:val="10"/>
                <w:color w:val="auto"/>
              </w:rPr>
              <w:t>280.1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52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Contributions from TRC and General Partner</w:t>
            </w:r>
          </w:p>
        </w:tc>
        <w:tc>
          <w:tcPr>
            <w:tcW w:w="1500" w:type="dxa"/>
            <w:vAlign w:val="bottom"/>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right"/>
              <w:ind w:right="380"/>
              <w:spacing w:after="0" w:line="113" w:lineRule="exact"/>
              <w:rPr>
                <w:sz w:val="20"/>
                <w:szCs w:val="20"/>
                <w:color w:val="auto"/>
              </w:rPr>
            </w:pPr>
            <w:r>
              <w:rPr>
                <w:rFonts w:ascii="Arial" w:cs="Arial" w:eastAsia="Arial" w:hAnsi="Arial"/>
                <w:sz w:val="10"/>
                <w:szCs w:val="10"/>
                <w:color w:val="auto"/>
              </w:rPr>
              <w:t>—</w:t>
            </w:r>
          </w:p>
        </w:tc>
        <w:tc>
          <w:tcPr>
            <w:tcW w:w="820" w:type="dxa"/>
            <w:vAlign w:val="bottom"/>
            <w:shd w:val="clear" w:color="auto" w:fill="CFF0FC"/>
          </w:tcPr>
          <w:p>
            <w:pPr>
              <w:spacing w:after="0"/>
              <w:rPr>
                <w:sz w:val="9"/>
                <w:szCs w:val="9"/>
                <w:color w:val="auto"/>
              </w:rPr>
            </w:pPr>
          </w:p>
        </w:tc>
        <w:tc>
          <w:tcPr>
            <w:tcW w:w="164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60.0</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520" w:type="dxa"/>
            <w:vAlign w:val="bottom"/>
          </w:tcPr>
          <w:p>
            <w:pPr>
              <w:spacing w:after="0" w:line="113" w:lineRule="exact"/>
              <w:rPr>
                <w:sz w:val="20"/>
                <w:szCs w:val="20"/>
                <w:color w:val="auto"/>
              </w:rPr>
            </w:pPr>
            <w:r>
              <w:rPr>
                <w:rFonts w:ascii="Arial" w:cs="Arial" w:eastAsia="Arial" w:hAnsi="Arial"/>
                <w:sz w:val="10"/>
                <w:szCs w:val="10"/>
                <w:color w:val="auto"/>
              </w:rPr>
              <w:t>Distributions</w:t>
            </w:r>
          </w:p>
        </w:tc>
        <w:tc>
          <w:tcPr>
            <w:tcW w:w="15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0" w:type="dxa"/>
            <w:vAlign w:val="bottom"/>
            <w:gridSpan w:val="2"/>
          </w:tcPr>
          <w:p>
            <w:pPr>
              <w:jc w:val="right"/>
              <w:ind w:right="340"/>
              <w:spacing w:after="0" w:line="113" w:lineRule="exact"/>
              <w:rPr>
                <w:sz w:val="20"/>
                <w:szCs w:val="20"/>
                <w:color w:val="auto"/>
              </w:rPr>
            </w:pPr>
            <w:r>
              <w:rPr>
                <w:rFonts w:ascii="Arial" w:cs="Arial" w:eastAsia="Arial" w:hAnsi="Arial"/>
                <w:sz w:val="10"/>
                <w:szCs w:val="10"/>
                <w:color w:val="auto"/>
              </w:rPr>
              <w:t>(241.3)</w:t>
            </w:r>
          </w:p>
        </w:tc>
        <w:tc>
          <w:tcPr>
            <w:tcW w:w="820" w:type="dxa"/>
            <w:vAlign w:val="bottom"/>
          </w:tcPr>
          <w:p>
            <w:pPr>
              <w:spacing w:after="0"/>
              <w:rPr>
                <w:sz w:val="9"/>
                <w:szCs w:val="9"/>
                <w:color w:val="auto"/>
              </w:rPr>
            </w:pPr>
          </w:p>
        </w:tc>
        <w:tc>
          <w:tcPr>
            <w:tcW w:w="176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(228.5)</w:t>
            </w:r>
          </w:p>
        </w:tc>
        <w:tc>
          <w:tcPr>
            <w:tcW w:w="0" w:type="dxa"/>
            <w:vAlign w:val="bottom"/>
          </w:tcPr>
          <w:p>
            <w:pPr>
              <w:spacing w:after="0"/>
              <w:rPr>
                <w:sz w:val="1"/>
                <w:szCs w:val="1"/>
                <w:color w:val="auto"/>
              </w:rPr>
            </w:pPr>
          </w:p>
        </w:tc>
      </w:tr>
      <w:tr>
        <w:trPr>
          <w:trHeight w:val="113"/>
        </w:trPr>
        <w:tc>
          <w:tcPr>
            <w:tcW w:w="352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Other</w:t>
            </w:r>
          </w:p>
        </w:tc>
        <w:tc>
          <w:tcPr>
            <w:tcW w:w="1500" w:type="dxa"/>
            <w:vAlign w:val="bottom"/>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right"/>
              <w:ind w:right="340"/>
              <w:spacing w:after="0" w:line="113" w:lineRule="exact"/>
              <w:rPr>
                <w:sz w:val="20"/>
                <w:szCs w:val="20"/>
                <w:color w:val="auto"/>
              </w:rPr>
            </w:pPr>
            <w:r>
              <w:rPr>
                <w:rFonts w:ascii="Arial" w:cs="Arial" w:eastAsia="Arial" w:hAnsi="Arial"/>
                <w:sz w:val="10"/>
                <w:szCs w:val="10"/>
                <w:color w:val="auto"/>
              </w:rPr>
              <w:t>(18.6)</w:t>
            </w:r>
          </w:p>
        </w:tc>
        <w:tc>
          <w:tcPr>
            <w:tcW w:w="8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(16.5)</w:t>
            </w:r>
          </w:p>
        </w:tc>
        <w:tc>
          <w:tcPr>
            <w:tcW w:w="0" w:type="dxa"/>
            <w:vAlign w:val="bottom"/>
          </w:tcPr>
          <w:p>
            <w:pPr>
              <w:spacing w:after="0"/>
              <w:rPr>
                <w:sz w:val="1"/>
                <w:szCs w:val="1"/>
                <w:color w:val="auto"/>
              </w:rPr>
            </w:pPr>
          </w:p>
        </w:tc>
      </w:tr>
      <w:tr>
        <w:trPr>
          <w:trHeight w:val="111"/>
        </w:trPr>
        <w:tc>
          <w:tcPr>
            <w:tcW w:w="3520" w:type="dxa"/>
            <w:vAlign w:val="bottom"/>
          </w:tcPr>
          <w:p>
            <w:pPr>
              <w:spacing w:after="0" w:line="103" w:lineRule="exact"/>
              <w:rPr>
                <w:sz w:val="20"/>
                <w:szCs w:val="20"/>
                <w:color w:val="auto"/>
              </w:rPr>
            </w:pPr>
            <w:r>
              <w:rPr>
                <w:rFonts w:ascii="Arial" w:cs="Arial" w:eastAsia="Arial" w:hAnsi="Arial"/>
                <w:sz w:val="10"/>
                <w:szCs w:val="10"/>
                <w:color w:val="auto"/>
              </w:rPr>
              <w:t>Net cash provided by (used in) financing activities</w:t>
            </w:r>
          </w:p>
        </w:tc>
        <w:tc>
          <w:tcPr>
            <w:tcW w:w="1500" w:type="dxa"/>
            <w:vAlign w:val="bottom"/>
          </w:tcPr>
          <w:p>
            <w:pPr>
              <w:spacing w:after="0"/>
              <w:rPr>
                <w:sz w:val="9"/>
                <w:szCs w:val="9"/>
                <w:color w:val="auto"/>
              </w:rPr>
            </w:pPr>
          </w:p>
        </w:tc>
        <w:tc>
          <w:tcPr>
            <w:tcW w:w="1640" w:type="dxa"/>
            <w:vAlign w:val="bottom"/>
            <w:tcBorders>
              <w:top w:val="single" w:sz="8" w:color="auto"/>
              <w:bottom w:val="single" w:sz="8" w:color="auto"/>
            </w:tcBorders>
          </w:tcPr>
          <w:p>
            <w:pPr>
              <w:jc w:val="right"/>
              <w:ind w:right="1530"/>
              <w:spacing w:after="0" w:line="103" w:lineRule="exact"/>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669.6</w:t>
            </w:r>
          </w:p>
        </w:tc>
        <w:tc>
          <w:tcPr>
            <w:tcW w:w="380" w:type="dxa"/>
            <w:vAlign w:val="bottom"/>
          </w:tcPr>
          <w:p>
            <w:pPr>
              <w:spacing w:after="0"/>
              <w:rPr>
                <w:sz w:val="9"/>
                <w:szCs w:val="9"/>
                <w:color w:val="auto"/>
              </w:rPr>
            </w:pPr>
          </w:p>
        </w:tc>
        <w:tc>
          <w:tcPr>
            <w:tcW w:w="82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5"/>
                <w:szCs w:val="5"/>
                <w:color w:val="auto"/>
                <w:w w:val="70"/>
              </w:rPr>
              <w:t>$</w:t>
            </w:r>
          </w:p>
        </w:tc>
        <w:tc>
          <w:tcPr>
            <w:tcW w:w="164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405.1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2019, we realized a net source of cash from financing activities primarily due to a net increase of debt outstanding, contributions from noncontrolling interests, partially offset by payments of dividends and distributions. The issuance of 6½% Senior Notes due 2027 and 6⅞% Senior Notes due January 2029, partially offset by the redemption of 4⅛% Senior Notes due November 2019 contributed to the net increase of debt outstanding. The contributions from noncontrolling interests were primarily from Stonepeak and Blackstone to fund growth projects</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In 2018, we realized a net source of cash from financing activities primarily due to borrowings under the TRP Revolver and contributions from noncontrolling interests, partially offset by the payments of distributions to TRC.</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contributions from noncontrolling interests were primarily from Stonepeak and Blackstone to fund growth projects.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Distributions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TRC is entitled to receive all available Partnership distributions after payments of preferred distributions each quarter.</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details the distributions declared and paid by us during the three months ended March 31, 2019: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5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Distributions to</w:t>
            </w:r>
          </w:p>
        </w:tc>
      </w:tr>
      <w:tr>
        <w:trPr>
          <w:trHeight w:val="118"/>
        </w:trPr>
        <w:tc>
          <w:tcPr>
            <w:tcW w:w="420" w:type="dxa"/>
            <w:vAlign w:val="bottom"/>
          </w:tcPr>
          <w:p>
            <w:pPr>
              <w:spacing w:after="0"/>
              <w:rPr>
                <w:sz w:val="10"/>
                <w:szCs w:val="10"/>
                <w:color w:val="auto"/>
              </w:rPr>
            </w:pPr>
          </w:p>
        </w:tc>
        <w:tc>
          <w:tcPr>
            <w:tcW w:w="3080" w:type="dxa"/>
            <w:vAlign w:val="bottom"/>
            <w:gridSpan w:val="2"/>
          </w:tcPr>
          <w:p>
            <w:pPr>
              <w:ind w:left="720"/>
              <w:spacing w:after="0"/>
              <w:rPr>
                <w:sz w:val="20"/>
                <w:szCs w:val="20"/>
                <w:color w:val="auto"/>
              </w:rPr>
            </w:pPr>
            <w:r>
              <w:rPr>
                <w:rFonts w:ascii="Arial" w:cs="Arial" w:eastAsia="Arial" w:hAnsi="Arial"/>
                <w:sz w:val="10"/>
                <w:szCs w:val="10"/>
                <w:b w:val="1"/>
                <w:bCs w:val="1"/>
                <w:color w:val="auto"/>
              </w:rPr>
              <w:t>Three Months Ended</w:t>
            </w:r>
          </w:p>
        </w:tc>
        <w:tc>
          <w:tcPr>
            <w:tcW w:w="2940" w:type="dxa"/>
            <w:vAlign w:val="bottom"/>
          </w:tcPr>
          <w:p>
            <w:pPr>
              <w:ind w:left="1240"/>
              <w:spacing w:after="0"/>
              <w:rPr>
                <w:sz w:val="20"/>
                <w:szCs w:val="20"/>
                <w:color w:val="auto"/>
              </w:rPr>
            </w:pPr>
            <w:r>
              <w:rPr>
                <w:rFonts w:ascii="Arial" w:cs="Arial" w:eastAsia="Arial" w:hAnsi="Arial"/>
                <w:sz w:val="10"/>
                <w:szCs w:val="10"/>
                <w:b w:val="1"/>
                <w:bCs w:val="1"/>
                <w:color w:val="auto"/>
              </w:rPr>
              <w:t>Date Paid</w:t>
            </w:r>
          </w:p>
        </w:tc>
        <w:tc>
          <w:tcPr>
            <w:tcW w:w="280" w:type="dxa"/>
            <w:vAlign w:val="bottom"/>
          </w:tcPr>
          <w:p>
            <w:pPr>
              <w:spacing w:after="0"/>
              <w:rPr>
                <w:sz w:val="10"/>
                <w:szCs w:val="10"/>
                <w:color w:val="auto"/>
              </w:rPr>
            </w:pPr>
          </w:p>
        </w:tc>
        <w:tc>
          <w:tcPr>
            <w:tcW w:w="1800" w:type="dxa"/>
            <w:vAlign w:val="bottom"/>
          </w:tcPr>
          <w:p>
            <w:pPr>
              <w:jc w:val="right"/>
              <w:ind w:right="450"/>
              <w:spacing w:after="0"/>
              <w:rPr>
                <w:sz w:val="20"/>
                <w:szCs w:val="20"/>
                <w:color w:val="auto"/>
              </w:rPr>
            </w:pPr>
            <w:r>
              <w:rPr>
                <w:rFonts w:ascii="Arial" w:cs="Arial" w:eastAsia="Arial" w:hAnsi="Arial"/>
                <w:sz w:val="10"/>
                <w:szCs w:val="10"/>
                <w:b w:val="1"/>
                <w:bCs w:val="1"/>
                <w:color w:val="auto"/>
              </w:rPr>
              <w:t>Total Distributions</w:t>
            </w:r>
          </w:p>
        </w:tc>
        <w:tc>
          <w:tcPr>
            <w:tcW w:w="420" w:type="dxa"/>
            <w:vAlign w:val="bottom"/>
          </w:tcPr>
          <w:p>
            <w:pPr>
              <w:spacing w:after="0"/>
              <w:rPr>
                <w:sz w:val="10"/>
                <w:szCs w:val="10"/>
                <w:color w:val="auto"/>
              </w:rPr>
            </w:pPr>
          </w:p>
        </w:tc>
        <w:tc>
          <w:tcPr>
            <w:tcW w:w="25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Targa Resources Corp.</w:t>
            </w:r>
          </w:p>
        </w:tc>
      </w:tr>
      <w:tr>
        <w:trPr>
          <w:trHeight w:val="102"/>
        </w:trPr>
        <w:tc>
          <w:tcPr>
            <w:tcW w:w="420" w:type="dxa"/>
            <w:vAlign w:val="bottom"/>
            <w:tcBorders>
              <w:top w:val="single" w:sz="8" w:color="auto"/>
            </w:tcBorders>
            <w:shd w:val="clear" w:color="auto" w:fill="CFF0FC"/>
          </w:tcPr>
          <w:p>
            <w:pPr>
              <w:spacing w:after="0" w:line="103" w:lineRule="exact"/>
              <w:rPr>
                <w:sz w:val="20"/>
                <w:szCs w:val="20"/>
                <w:color w:val="auto"/>
              </w:rPr>
            </w:pPr>
            <w:r>
              <w:rPr>
                <w:rFonts w:ascii="Arial" w:cs="Arial" w:eastAsia="Arial" w:hAnsi="Arial"/>
                <w:sz w:val="10"/>
                <w:szCs w:val="10"/>
                <w:color w:val="auto"/>
                <w:w w:val="89"/>
              </w:rPr>
              <w:t>March 31,</w:t>
            </w:r>
          </w:p>
        </w:tc>
        <w:tc>
          <w:tcPr>
            <w:tcW w:w="2780" w:type="dxa"/>
            <w:vAlign w:val="bottom"/>
            <w:tcBorders>
              <w:top w:val="single" w:sz="8" w:color="auto"/>
            </w:tcBorders>
            <w:shd w:val="clear" w:color="auto" w:fill="CFF0FC"/>
          </w:tcPr>
          <w:p>
            <w:pPr>
              <w:ind w:left="20"/>
              <w:spacing w:after="0" w:line="103" w:lineRule="exact"/>
              <w:rPr>
                <w:sz w:val="20"/>
                <w:szCs w:val="20"/>
                <w:color w:val="auto"/>
              </w:rPr>
            </w:pPr>
            <w:r>
              <w:rPr>
                <w:rFonts w:ascii="Arial" w:cs="Arial" w:eastAsia="Arial" w:hAnsi="Arial"/>
                <w:sz w:val="10"/>
                <w:szCs w:val="10"/>
                <w:color w:val="auto"/>
              </w:rPr>
              <w:t>2019</w:t>
            </w:r>
          </w:p>
        </w:tc>
        <w:tc>
          <w:tcPr>
            <w:tcW w:w="300" w:type="dxa"/>
            <w:vAlign w:val="bottom"/>
            <w:tcBorders>
              <w:top w:val="single" w:sz="8" w:color="CFF0FC"/>
            </w:tcBorders>
            <w:shd w:val="clear" w:color="auto" w:fill="CFF0FC"/>
          </w:tcPr>
          <w:p>
            <w:pPr>
              <w:spacing w:after="0"/>
              <w:rPr>
                <w:sz w:val="8"/>
                <w:szCs w:val="8"/>
                <w:color w:val="auto"/>
              </w:rPr>
            </w:pPr>
          </w:p>
        </w:tc>
        <w:tc>
          <w:tcPr>
            <w:tcW w:w="2940" w:type="dxa"/>
            <w:vAlign w:val="bottom"/>
            <w:tcBorders>
              <w:top w:val="single" w:sz="8" w:color="auto"/>
            </w:tcBorders>
            <w:shd w:val="clear" w:color="auto" w:fill="CFF0FC"/>
          </w:tcPr>
          <w:p>
            <w:pPr>
              <w:spacing w:after="0" w:line="103" w:lineRule="exact"/>
              <w:rPr>
                <w:sz w:val="20"/>
                <w:szCs w:val="20"/>
                <w:color w:val="auto"/>
              </w:rPr>
            </w:pPr>
            <w:r>
              <w:rPr>
                <w:rFonts w:ascii="Arial" w:cs="Arial" w:eastAsia="Arial" w:hAnsi="Arial"/>
                <w:sz w:val="10"/>
                <w:szCs w:val="10"/>
                <w:color w:val="auto"/>
              </w:rPr>
              <w:t>April 5, 2019</w:t>
            </w:r>
          </w:p>
        </w:tc>
        <w:tc>
          <w:tcPr>
            <w:tcW w:w="280" w:type="dxa"/>
            <w:vAlign w:val="bottom"/>
            <w:tcBorders>
              <w:top w:val="single" w:sz="8" w:color="CFF0FC"/>
            </w:tcBorders>
            <w:shd w:val="clear" w:color="auto" w:fill="CFF0FC"/>
          </w:tcPr>
          <w:p>
            <w:pPr>
              <w:jc w:val="right"/>
              <w:ind w:right="70"/>
              <w:spacing w:after="0" w:line="103" w:lineRule="exact"/>
              <w:rPr>
                <w:sz w:val="20"/>
                <w:szCs w:val="20"/>
                <w:color w:val="auto"/>
              </w:rPr>
            </w:pPr>
            <w:r>
              <w:rPr>
                <w:rFonts w:ascii="Arial" w:cs="Arial" w:eastAsia="Arial" w:hAnsi="Arial"/>
                <w:sz w:val="10"/>
                <w:szCs w:val="10"/>
                <w:color w:val="auto"/>
              </w:rPr>
              <w:t>$</w:t>
            </w:r>
          </w:p>
        </w:tc>
        <w:tc>
          <w:tcPr>
            <w:tcW w:w="180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437.8</w:t>
            </w:r>
          </w:p>
        </w:tc>
        <w:tc>
          <w:tcPr>
            <w:tcW w:w="420" w:type="dxa"/>
            <w:vAlign w:val="bottom"/>
            <w:tcBorders>
              <w:top w:val="single" w:sz="8" w:color="CFF0FC"/>
            </w:tcBorders>
            <w:shd w:val="clear" w:color="auto" w:fill="CFF0FC"/>
          </w:tcPr>
          <w:p>
            <w:pPr>
              <w:jc w:val="right"/>
              <w:ind w:right="90"/>
              <w:spacing w:after="0" w:line="103" w:lineRule="exact"/>
              <w:rPr>
                <w:sz w:val="20"/>
                <w:szCs w:val="20"/>
                <w:color w:val="auto"/>
              </w:rPr>
            </w:pPr>
            <w:r>
              <w:rPr>
                <w:rFonts w:ascii="Arial" w:cs="Arial" w:eastAsia="Arial" w:hAnsi="Arial"/>
                <w:sz w:val="10"/>
                <w:szCs w:val="10"/>
                <w:color w:val="auto"/>
              </w:rPr>
              <w:t>$</w:t>
            </w:r>
          </w:p>
        </w:tc>
        <w:tc>
          <w:tcPr>
            <w:tcW w:w="24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435.0</w:t>
            </w:r>
          </w:p>
        </w:tc>
        <w:tc>
          <w:tcPr>
            <w:tcW w:w="120" w:type="dxa"/>
            <w:vAlign w:val="bottom"/>
            <w:tcBorders>
              <w:top w:val="single" w:sz="8" w:color="CFF0FC"/>
            </w:tcBorders>
            <w:shd w:val="clear" w:color="auto" w:fill="CFF0FC"/>
          </w:tcPr>
          <w:p>
            <w:pPr>
              <w:spacing w:after="0"/>
              <w:rPr>
                <w:sz w:val="8"/>
                <w:szCs w:val="8"/>
                <w:color w:val="auto"/>
              </w:rPr>
            </w:pPr>
          </w:p>
        </w:tc>
      </w:tr>
      <w:tr>
        <w:trPr>
          <w:trHeight w:val="127"/>
        </w:trPr>
        <w:tc>
          <w:tcPr>
            <w:tcW w:w="420" w:type="dxa"/>
            <w:vAlign w:val="bottom"/>
          </w:tcPr>
          <w:p>
            <w:pPr>
              <w:spacing w:after="0"/>
              <w:rPr>
                <w:sz w:val="20"/>
                <w:szCs w:val="20"/>
                <w:color w:val="auto"/>
              </w:rPr>
            </w:pPr>
            <w:r>
              <w:rPr>
                <w:rFonts w:ascii="Arial" w:cs="Arial" w:eastAsia="Arial" w:hAnsi="Arial"/>
                <w:sz w:val="10"/>
                <w:szCs w:val="10"/>
                <w:color w:val="auto"/>
                <w:w w:val="86"/>
              </w:rPr>
              <w:t>December</w:t>
            </w:r>
          </w:p>
        </w:tc>
        <w:tc>
          <w:tcPr>
            <w:tcW w:w="2780" w:type="dxa"/>
            <w:vAlign w:val="bottom"/>
          </w:tcPr>
          <w:p>
            <w:pPr>
              <w:ind w:left="20"/>
              <w:spacing w:after="0"/>
              <w:rPr>
                <w:sz w:val="20"/>
                <w:szCs w:val="20"/>
                <w:color w:val="auto"/>
              </w:rPr>
            </w:pPr>
            <w:r>
              <w:rPr>
                <w:rFonts w:ascii="Arial" w:cs="Arial" w:eastAsia="Arial" w:hAnsi="Arial"/>
                <w:sz w:val="10"/>
                <w:szCs w:val="10"/>
                <w:color w:val="auto"/>
              </w:rPr>
              <w:t>31, 2018</w:t>
            </w:r>
          </w:p>
        </w:tc>
        <w:tc>
          <w:tcPr>
            <w:tcW w:w="300" w:type="dxa"/>
            <w:vAlign w:val="bottom"/>
          </w:tcPr>
          <w:p>
            <w:pPr>
              <w:spacing w:after="0"/>
              <w:rPr>
                <w:sz w:val="11"/>
                <w:szCs w:val="11"/>
                <w:color w:val="auto"/>
              </w:rPr>
            </w:pPr>
          </w:p>
        </w:tc>
        <w:tc>
          <w:tcPr>
            <w:tcW w:w="2940" w:type="dxa"/>
            <w:vAlign w:val="bottom"/>
          </w:tcPr>
          <w:p>
            <w:pPr>
              <w:spacing w:after="0"/>
              <w:rPr>
                <w:sz w:val="20"/>
                <w:szCs w:val="20"/>
                <w:color w:val="auto"/>
              </w:rPr>
            </w:pPr>
            <w:r>
              <w:rPr>
                <w:rFonts w:ascii="Arial" w:cs="Arial" w:eastAsia="Arial" w:hAnsi="Arial"/>
                <w:sz w:val="10"/>
                <w:szCs w:val="10"/>
                <w:color w:val="auto"/>
              </w:rPr>
              <w:t>February 13, 2019</w:t>
            </w:r>
          </w:p>
        </w:tc>
        <w:tc>
          <w:tcPr>
            <w:tcW w:w="280" w:type="dxa"/>
            <w:vAlign w:val="bottom"/>
          </w:tcPr>
          <w:p>
            <w:pPr>
              <w:spacing w:after="0"/>
              <w:rPr>
                <w:sz w:val="11"/>
                <w:szCs w:val="11"/>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241.3</w:t>
            </w:r>
          </w:p>
        </w:tc>
        <w:tc>
          <w:tcPr>
            <w:tcW w:w="420" w:type="dxa"/>
            <w:vAlign w:val="bottom"/>
          </w:tcPr>
          <w:p>
            <w:pPr>
              <w:spacing w:after="0"/>
              <w:rPr>
                <w:sz w:val="11"/>
                <w:szCs w:val="11"/>
                <w:color w:val="auto"/>
              </w:rPr>
            </w:pPr>
          </w:p>
        </w:tc>
        <w:tc>
          <w:tcPr>
            <w:tcW w:w="2420" w:type="dxa"/>
            <w:vAlign w:val="bottom"/>
          </w:tcPr>
          <w:p>
            <w:pPr>
              <w:jc w:val="right"/>
              <w:spacing w:after="0"/>
              <w:rPr>
                <w:sz w:val="20"/>
                <w:szCs w:val="20"/>
                <w:color w:val="auto"/>
              </w:rPr>
            </w:pPr>
            <w:r>
              <w:rPr>
                <w:rFonts w:ascii="Arial" w:cs="Arial" w:eastAsia="Arial" w:hAnsi="Arial"/>
                <w:sz w:val="10"/>
                <w:szCs w:val="10"/>
                <w:color w:val="auto"/>
              </w:rPr>
              <w:t>238.5</w:t>
            </w:r>
          </w:p>
        </w:tc>
        <w:tc>
          <w:tcPr>
            <w:tcW w:w="120" w:type="dxa"/>
            <w:vAlign w:val="bottom"/>
          </w:tcPr>
          <w:p>
            <w:pPr>
              <w:spacing w:after="0"/>
              <w:rPr>
                <w:sz w:val="11"/>
                <w:szCs w:val="1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Preferred Units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Distributions on our Preferred Units are declared and paid monthly. As of March 31, 2019, we have 5,000,000 Preferred Units outstanding. For the three months ended March 31, 2019, $2.8 million of distributions were paid. We have accrued distributions to Series A Preferred Unitholders of $0.9 million for March, which were paid subsequently on April 15, 2019.</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In April 2019, the board of directors of our general partner declared a cash distribution of $0.1875 per Preferred Unit. This distribution will be paid on May 15, 2019.</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Capital Expenditures</w:t>
      </w:r>
    </w:p>
    <w:p>
      <w:pPr>
        <w:spacing w:after="0" w:line="76" w:lineRule="exact"/>
        <w:rPr>
          <w:sz w:val="20"/>
          <w:szCs w:val="20"/>
          <w:color w:val="auto"/>
        </w:rPr>
      </w:pPr>
    </w:p>
    <w:p>
      <w:pPr>
        <w:jc w:val="both"/>
        <w:ind w:right="20"/>
        <w:spacing w:after="0" w:line="246" w:lineRule="auto"/>
        <w:rPr>
          <w:sz w:val="20"/>
          <w:szCs w:val="20"/>
          <w:color w:val="auto"/>
        </w:rPr>
      </w:pPr>
      <w:r>
        <w:rPr>
          <w:rFonts w:ascii="Arial" w:cs="Arial" w:eastAsia="Arial" w:hAnsi="Arial"/>
          <w:sz w:val="13"/>
          <w:szCs w:val="13"/>
          <w:color w:val="auto"/>
        </w:rPr>
        <w:t>Our capital expenditures are classified as growth capital expenditures, business acquisitions, and maintenance expenditures. Growth capital expenditures improve the service capability of the existing assets, extend asset useful lives, increase capacities from existing levels, add capabilities, reduce costs or enhance revenues, and fund acquisitions of businesses or assets. Maintenance capital expenditures are those expenditures that are necessary to maintain the service capability of our existing assets, including the replacement of system components and equipment, which are worn, obsolete or completing their useful life and expenditures to remain in compliance with environmental laws and regulations.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432" w:right="199" w:bottom="1440" w:gutter="0" w:footer="0" w:header="0"/>
        </w:sectPr>
      </w:pPr>
    </w:p>
    <w:bookmarkStart w:id="42" w:name="page43"/>
    <w:bookmarkEnd w:id="42"/>
    <w:p>
      <w:pPr>
        <w:ind w:left="5"/>
        <w:spacing w:after="0"/>
        <w:rPr>
          <w:sz w:val="20"/>
          <w:szCs w:val="20"/>
          <w:color w:val="auto"/>
        </w:rPr>
      </w:pPr>
      <w:r>
        <w:rPr>
          <w:rFonts w:ascii="Arial" w:cs="Arial" w:eastAsia="Arial" w:hAnsi="Arial"/>
          <w:sz w:val="13"/>
          <w:szCs w:val="13"/>
          <w:color w:val="auto"/>
        </w:rPr>
        <w:t>The following table details cash outlays for capital projects for the three months ended March 31, 2019 and 2018:</w:t>
      </w:r>
    </w:p>
    <w:p>
      <w:pPr>
        <w:spacing w:after="0" w:line="202" w:lineRule="exact"/>
        <w:rPr>
          <w:sz w:val="20"/>
          <w:szCs w:val="20"/>
          <w:color w:val="auto"/>
        </w:rPr>
      </w:pPr>
    </w:p>
    <w:tbl>
      <w:tblPr>
        <w:tblLayout w:type="fixed"/>
        <w:tblInd w:w="5" w:type="dxa"/>
        <w:tblCellMar>
          <w:top w:w="0" w:type="dxa"/>
          <w:left w:w="0" w:type="dxa"/>
          <w:bottom w:w="0" w:type="dxa"/>
          <w:right w:w="0" w:type="dxa"/>
        </w:tblCellMar>
      </w:tblPr>
      <w:tr>
        <w:trPr>
          <w:trHeight w:val="118"/>
        </w:trPr>
        <w:tc>
          <w:tcPr>
            <w:tcW w:w="788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0"/>
                <w:szCs w:val="10"/>
                <w:b w:val="1"/>
                <w:bCs w:val="1"/>
                <w:color w:val="auto"/>
                <w:w w:val="97"/>
              </w:rPr>
              <w:t>Three Months Ended March 31,</w:t>
            </w:r>
          </w:p>
        </w:tc>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7880" w:type="dxa"/>
            <w:vAlign w:val="bottom"/>
          </w:tcPr>
          <w:p>
            <w:pPr>
              <w:spacing w:after="0"/>
              <w:rPr>
                <w:sz w:val="8"/>
                <w:szCs w:val="8"/>
                <w:color w:val="auto"/>
              </w:rPr>
            </w:pPr>
          </w:p>
        </w:tc>
        <w:tc>
          <w:tcPr>
            <w:tcW w:w="960" w:type="dxa"/>
            <w:vAlign w:val="bottom"/>
            <w:tcBorders>
              <w:bottom w:val="single" w:sz="8" w:color="auto"/>
            </w:tcBorders>
          </w:tcPr>
          <w:p>
            <w:pPr>
              <w:jc w:val="right"/>
              <w:ind w:right="47"/>
              <w:spacing w:after="0" w:line="103" w:lineRule="exact"/>
              <w:rPr>
                <w:sz w:val="20"/>
                <w:szCs w:val="20"/>
                <w:color w:val="auto"/>
              </w:rPr>
            </w:pPr>
            <w:r>
              <w:rPr>
                <w:rFonts w:ascii="Arial" w:cs="Arial" w:eastAsia="Arial" w:hAnsi="Arial"/>
                <w:sz w:val="10"/>
                <w:szCs w:val="10"/>
                <w:b w:val="1"/>
                <w:bCs w:val="1"/>
                <w:color w:val="auto"/>
              </w:rPr>
              <w:t>2019</w:t>
            </w: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ind w:right="650"/>
              <w:spacing w:after="0" w:line="103"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7880" w:type="dxa"/>
            <w:vAlign w:val="bottom"/>
            <w:vMerge w:val="restart"/>
          </w:tcPr>
          <w:p>
            <w:pPr>
              <w:spacing w:after="0"/>
              <w:rPr>
                <w:sz w:val="20"/>
                <w:szCs w:val="20"/>
                <w:color w:val="auto"/>
              </w:rPr>
            </w:pPr>
            <w:r>
              <w:rPr>
                <w:rFonts w:ascii="Arial" w:cs="Arial" w:eastAsia="Arial" w:hAnsi="Arial"/>
                <w:sz w:val="10"/>
                <w:szCs w:val="10"/>
                <w:color w:val="auto"/>
              </w:rPr>
              <w:t>Capital expenditures:</w:t>
            </w:r>
          </w:p>
        </w:tc>
        <w:tc>
          <w:tcPr>
            <w:tcW w:w="960" w:type="dxa"/>
            <w:vAlign w:val="bottom"/>
          </w:tcPr>
          <w:p>
            <w:pPr>
              <w:spacing w:after="0"/>
              <w:rPr>
                <w:sz w:val="10"/>
                <w:szCs w:val="10"/>
                <w:color w:val="auto"/>
              </w:rPr>
            </w:pPr>
          </w:p>
        </w:tc>
        <w:tc>
          <w:tcPr>
            <w:tcW w:w="1540" w:type="dxa"/>
            <w:vAlign w:val="bottom"/>
            <w:gridSpan w:val="3"/>
          </w:tcPr>
          <w:p>
            <w:pPr>
              <w:jc w:val="right"/>
              <w:ind w:right="450"/>
              <w:spacing w:after="0"/>
              <w:rPr>
                <w:sz w:val="20"/>
                <w:szCs w:val="20"/>
                <w:color w:val="auto"/>
              </w:rPr>
            </w:pPr>
            <w:r>
              <w:rPr>
                <w:rFonts w:ascii="Arial" w:cs="Arial" w:eastAsia="Arial" w:hAnsi="Arial"/>
                <w:sz w:val="10"/>
                <w:szCs w:val="10"/>
                <w:b w:val="1"/>
                <w:bCs w:val="1"/>
                <w:color w:val="auto"/>
              </w:rPr>
              <w:t>(In millions)</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8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8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Growth (1)</w:t>
            </w:r>
          </w:p>
        </w:tc>
        <w:tc>
          <w:tcPr>
            <w:tcW w:w="960" w:type="dxa"/>
            <w:vAlign w:val="bottom"/>
            <w:shd w:val="clear" w:color="auto" w:fill="CFF0FC"/>
          </w:tcPr>
          <w:p>
            <w:pPr>
              <w:jc w:val="right"/>
              <w:ind w:right="88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870.0</w:t>
            </w:r>
          </w:p>
        </w:tc>
        <w:tc>
          <w:tcPr>
            <w:tcW w:w="300" w:type="dxa"/>
            <w:vAlign w:val="bottom"/>
            <w:shd w:val="clear" w:color="auto" w:fill="CFF0FC"/>
          </w:tcPr>
          <w:p>
            <w:pPr>
              <w:spacing w:after="0"/>
              <w:rPr>
                <w:sz w:val="9"/>
                <w:szCs w:val="9"/>
                <w:color w:val="auto"/>
              </w:rPr>
            </w:pPr>
          </w:p>
        </w:tc>
        <w:tc>
          <w:tcPr>
            <w:tcW w:w="620" w:type="dxa"/>
            <w:vAlign w:val="bottom"/>
            <w:shd w:val="clear" w:color="auto" w:fill="CFF0FC"/>
          </w:tcPr>
          <w:p>
            <w:pPr>
              <w:jc w:val="right"/>
              <w:ind w:right="510"/>
              <w:spacing w:after="0" w:line="113" w:lineRule="exact"/>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535.6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880" w:type="dxa"/>
            <w:vAlign w:val="bottom"/>
            <w:tcBorders>
              <w:bottom w:val="single" w:sz="8" w:color="CFF0FC"/>
            </w:tcBorders>
          </w:tcPr>
          <w:p>
            <w:pPr>
              <w:ind w:left="160"/>
              <w:spacing w:after="0" w:line="113" w:lineRule="exact"/>
              <w:rPr>
                <w:sz w:val="20"/>
                <w:szCs w:val="20"/>
                <w:color w:val="auto"/>
              </w:rPr>
            </w:pPr>
            <w:r>
              <w:rPr>
                <w:rFonts w:ascii="Arial" w:cs="Arial" w:eastAsia="Arial" w:hAnsi="Arial"/>
                <w:sz w:val="10"/>
                <w:szCs w:val="10"/>
                <w:color w:val="auto"/>
              </w:rPr>
              <w:t>Maintenance (2)</w:t>
            </w:r>
          </w:p>
        </w:tc>
        <w:tc>
          <w:tcPr>
            <w:tcW w:w="9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35.6</w:t>
            </w:r>
          </w:p>
        </w:tc>
        <w:tc>
          <w:tcPr>
            <w:tcW w:w="300" w:type="dxa"/>
            <w:vAlign w:val="bottom"/>
            <w:tcBorders>
              <w:bottom w:val="single" w:sz="8" w:color="CFF0FC"/>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22.4</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880" w:type="dxa"/>
            <w:vAlign w:val="bottom"/>
            <w:shd w:val="clear" w:color="auto" w:fill="CFF0FC"/>
          </w:tcPr>
          <w:p>
            <w:pPr>
              <w:ind w:left="160"/>
              <w:spacing w:after="0" w:line="103" w:lineRule="exact"/>
              <w:rPr>
                <w:sz w:val="20"/>
                <w:szCs w:val="20"/>
                <w:color w:val="auto"/>
              </w:rPr>
            </w:pPr>
            <w:r>
              <w:rPr>
                <w:rFonts w:ascii="Arial" w:cs="Arial" w:eastAsia="Arial" w:hAnsi="Arial"/>
                <w:sz w:val="10"/>
                <w:szCs w:val="10"/>
                <w:color w:val="auto"/>
              </w:rPr>
              <w:t>Gross capital expenditures</w:t>
            </w:r>
          </w:p>
        </w:tc>
        <w:tc>
          <w:tcPr>
            <w:tcW w:w="960" w:type="dxa"/>
            <w:vAlign w:val="bottom"/>
            <w:shd w:val="clear" w:color="auto" w:fill="CFF0FC"/>
          </w:tcPr>
          <w:p>
            <w:pPr>
              <w:spacing w:after="0"/>
              <w:rPr>
                <w:sz w:val="8"/>
                <w:szCs w:val="8"/>
                <w:color w:val="auto"/>
              </w:rPr>
            </w:pPr>
          </w:p>
        </w:tc>
        <w:tc>
          <w:tcPr>
            <w:tcW w:w="62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905.6</w:t>
            </w:r>
          </w:p>
        </w:tc>
        <w:tc>
          <w:tcPr>
            <w:tcW w:w="30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line="103" w:lineRule="exact"/>
              <w:rPr>
                <w:sz w:val="20"/>
                <w:szCs w:val="20"/>
                <w:color w:val="auto"/>
              </w:rPr>
            </w:pPr>
            <w:r>
              <w:rPr>
                <w:rFonts w:ascii="Arial" w:cs="Arial" w:eastAsia="Arial" w:hAnsi="Arial"/>
                <w:sz w:val="10"/>
                <w:szCs w:val="10"/>
                <w:color w:val="auto"/>
              </w:rPr>
              <w:t>558.0</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880" w:type="dxa"/>
            <w:vAlign w:val="bottom"/>
          </w:tcPr>
          <w:p>
            <w:pPr>
              <w:ind w:left="160"/>
              <w:spacing w:after="0" w:line="113" w:lineRule="exact"/>
              <w:rPr>
                <w:sz w:val="20"/>
                <w:szCs w:val="20"/>
                <w:color w:val="auto"/>
              </w:rPr>
            </w:pPr>
            <w:r>
              <w:rPr>
                <w:rFonts w:ascii="Arial" w:cs="Arial" w:eastAsia="Arial" w:hAnsi="Arial"/>
                <w:sz w:val="10"/>
                <w:szCs w:val="10"/>
                <w:color w:val="auto"/>
              </w:rPr>
              <w:t>Transfers of capital expenditures to investment in unconsolidated affiliates</w:t>
            </w:r>
          </w:p>
        </w:tc>
        <w:tc>
          <w:tcPr>
            <w:tcW w:w="960" w:type="dxa"/>
            <w:vAlign w:val="bottom"/>
          </w:tcPr>
          <w:p>
            <w:pPr>
              <w:spacing w:after="0"/>
              <w:rPr>
                <w:sz w:val="9"/>
                <w:szCs w:val="9"/>
                <w:color w:val="auto"/>
              </w:rPr>
            </w:pPr>
          </w:p>
        </w:tc>
        <w:tc>
          <w:tcPr>
            <w:tcW w:w="920" w:type="dxa"/>
            <w:vAlign w:val="bottom"/>
            <w:gridSpan w:val="2"/>
          </w:tcPr>
          <w:p>
            <w:pPr>
              <w:jc w:val="right"/>
              <w:ind w:right="300"/>
              <w:spacing w:after="0" w:line="113" w:lineRule="exact"/>
              <w:rPr>
                <w:sz w:val="20"/>
                <w:szCs w:val="20"/>
                <w:color w:val="auto"/>
              </w:rPr>
            </w:pPr>
            <w:r>
              <w:rPr>
                <w:rFonts w:ascii="Arial" w:cs="Arial" w:eastAsia="Arial" w:hAnsi="Arial"/>
                <w:sz w:val="10"/>
                <w:szCs w:val="10"/>
                <w:color w:val="auto"/>
              </w:rPr>
              <w:t>—</w:t>
            </w:r>
          </w:p>
        </w:tc>
        <w:tc>
          <w:tcPr>
            <w:tcW w:w="62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Arial" w:cs="Arial" w:eastAsia="Arial" w:hAnsi="Arial"/>
                <w:sz w:val="10"/>
                <w:szCs w:val="10"/>
                <w:color w:val="auto"/>
              </w:rPr>
              <w:t>16.0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880" w:type="dxa"/>
            <w:vAlign w:val="bottom"/>
            <w:shd w:val="clear" w:color="auto" w:fill="CFF0FC"/>
          </w:tcPr>
          <w:p>
            <w:pPr>
              <w:ind w:left="160"/>
              <w:spacing w:after="0" w:line="113" w:lineRule="exact"/>
              <w:rPr>
                <w:sz w:val="20"/>
                <w:szCs w:val="20"/>
                <w:color w:val="auto"/>
              </w:rPr>
            </w:pPr>
            <w:r>
              <w:rPr>
                <w:rFonts w:ascii="Arial" w:cs="Arial" w:eastAsia="Arial" w:hAnsi="Arial"/>
                <w:sz w:val="10"/>
                <w:szCs w:val="10"/>
                <w:color w:val="auto"/>
              </w:rPr>
              <w:t>Transfers from materials and supplies inventory to property, plant and equipment</w:t>
            </w:r>
          </w:p>
        </w:tc>
        <w:tc>
          <w:tcPr>
            <w:tcW w:w="9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60"/>
              <w:spacing w:after="0" w:line="113" w:lineRule="exact"/>
              <w:rPr>
                <w:sz w:val="20"/>
                <w:szCs w:val="20"/>
                <w:color w:val="auto"/>
              </w:rPr>
            </w:pPr>
            <w:r>
              <w:rPr>
                <w:rFonts w:ascii="Arial" w:cs="Arial" w:eastAsia="Arial" w:hAnsi="Arial"/>
                <w:sz w:val="10"/>
                <w:szCs w:val="10"/>
                <w:color w:val="auto"/>
              </w:rPr>
              <w:t>(1.1)</w:t>
            </w:r>
          </w:p>
        </w:tc>
        <w:tc>
          <w:tcPr>
            <w:tcW w:w="62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100"/>
              <w:spacing w:after="0" w:line="113" w:lineRule="exact"/>
              <w:rPr>
                <w:sz w:val="20"/>
                <w:szCs w:val="20"/>
                <w:color w:val="auto"/>
              </w:rPr>
            </w:pPr>
            <w:r>
              <w:rPr>
                <w:rFonts w:ascii="Arial" w:cs="Arial" w:eastAsia="Arial" w:hAnsi="Arial"/>
                <w:sz w:val="10"/>
                <w:szCs w:val="10"/>
                <w:color w:val="auto"/>
              </w:rPr>
              <w:t>(0.4)</w:t>
            </w:r>
          </w:p>
        </w:tc>
        <w:tc>
          <w:tcPr>
            <w:tcW w:w="0" w:type="dxa"/>
            <w:vAlign w:val="bottom"/>
          </w:tcPr>
          <w:p>
            <w:pPr>
              <w:spacing w:after="0"/>
              <w:rPr>
                <w:sz w:val="1"/>
                <w:szCs w:val="1"/>
                <w:color w:val="auto"/>
              </w:rPr>
            </w:pPr>
          </w:p>
        </w:tc>
      </w:tr>
      <w:tr>
        <w:trPr>
          <w:trHeight w:val="113"/>
        </w:trPr>
        <w:tc>
          <w:tcPr>
            <w:tcW w:w="7880" w:type="dxa"/>
            <w:vAlign w:val="bottom"/>
            <w:tcBorders>
              <w:bottom w:val="single" w:sz="8" w:color="CFF0FC"/>
            </w:tcBorders>
          </w:tcPr>
          <w:p>
            <w:pPr>
              <w:ind w:left="160"/>
              <w:spacing w:after="0" w:line="113" w:lineRule="exact"/>
              <w:rPr>
                <w:sz w:val="20"/>
                <w:szCs w:val="20"/>
                <w:color w:val="auto"/>
              </w:rPr>
            </w:pPr>
            <w:r>
              <w:rPr>
                <w:rFonts w:ascii="Arial" w:cs="Arial" w:eastAsia="Arial" w:hAnsi="Arial"/>
                <w:sz w:val="10"/>
                <w:szCs w:val="10"/>
                <w:color w:val="auto"/>
              </w:rPr>
              <w:t>Change in capital project payables and accruals</w:t>
            </w:r>
          </w:p>
        </w:tc>
        <w:tc>
          <w:tcPr>
            <w:tcW w:w="9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38.4</w:t>
            </w:r>
          </w:p>
        </w:tc>
        <w:tc>
          <w:tcPr>
            <w:tcW w:w="300" w:type="dxa"/>
            <w:vAlign w:val="bottom"/>
            <w:tcBorders>
              <w:bottom w:val="single" w:sz="8" w:color="CFF0FC"/>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22.3</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880" w:type="dxa"/>
            <w:vAlign w:val="bottom"/>
            <w:tcBorders>
              <w:bottom w:val="single" w:sz="8" w:color="CFF0FC"/>
            </w:tcBorders>
            <w:shd w:val="clear" w:color="auto" w:fill="CFF0FC"/>
          </w:tcPr>
          <w:p>
            <w:pPr>
              <w:ind w:left="160"/>
              <w:spacing w:after="0" w:line="103" w:lineRule="exact"/>
              <w:rPr>
                <w:sz w:val="20"/>
                <w:szCs w:val="20"/>
                <w:color w:val="auto"/>
              </w:rPr>
            </w:pPr>
            <w:r>
              <w:rPr>
                <w:rFonts w:ascii="Arial" w:cs="Arial" w:eastAsia="Arial" w:hAnsi="Arial"/>
                <w:sz w:val="10"/>
                <w:szCs w:val="10"/>
                <w:color w:val="auto"/>
              </w:rPr>
              <w:t>Cash outlays for capital projects</w:t>
            </w:r>
          </w:p>
        </w:tc>
        <w:tc>
          <w:tcPr>
            <w:tcW w:w="96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942.9</w:t>
            </w:r>
          </w:p>
        </w:tc>
        <w:tc>
          <w:tcPr>
            <w:tcW w:w="30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ind w:right="510"/>
              <w:spacing w:after="0" w:line="103" w:lineRule="exact"/>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595.9</w:t>
            </w:r>
          </w:p>
        </w:tc>
        <w:tc>
          <w:tcPr>
            <w:tcW w:w="1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121285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12850" cy="5715"/>
                    </a:xfrm>
                    <a:prstGeom prst="rect">
                      <a:avLst/>
                    </a:prstGeom>
                    <a:noFill/>
                  </pic:spPr>
                </pic:pic>
              </a:graphicData>
            </a:graphic>
          </wp:anchor>
        </w:drawing>
      </w:r>
    </w:p>
    <w:p>
      <w:pPr>
        <w:spacing w:after="0" w:line="99" w:lineRule="exact"/>
        <w:rPr>
          <w:sz w:val="20"/>
          <w:szCs w:val="20"/>
          <w:color w:val="auto"/>
        </w:rPr>
      </w:pPr>
    </w:p>
    <w:p>
      <w:pPr>
        <w:ind w:left="525" w:right="20" w:hanging="525"/>
        <w:spacing w:after="0" w:line="234" w:lineRule="auto"/>
        <w:tabs>
          <w:tab w:leader="none" w:pos="525" w:val="left"/>
        </w:tabs>
        <w:numPr>
          <w:ilvl w:val="0"/>
          <w:numId w:val="31"/>
        </w:numPr>
        <w:rPr>
          <w:rFonts w:ascii="Arial" w:cs="Arial" w:eastAsia="Arial" w:hAnsi="Arial"/>
          <w:sz w:val="10"/>
          <w:szCs w:val="10"/>
          <w:color w:val="auto"/>
        </w:rPr>
      </w:pPr>
      <w:r>
        <w:rPr>
          <w:rFonts w:ascii="Arial" w:cs="Arial" w:eastAsia="Arial" w:hAnsi="Arial"/>
          <w:sz w:val="10"/>
          <w:szCs w:val="10"/>
          <w:color w:val="auto"/>
        </w:rPr>
        <w:t>Growth capital expenditures, net of contributions from noncontrolling interests, were $752.5 million and $446.8 million for the three months ended March 31, 2019 and 2018. Net contributions to investments in unconsolidated affiliates were $29.1 million and $32.4 million for the three months ended March 31, 2019 and 2018.</w:t>
      </w:r>
    </w:p>
    <w:p>
      <w:pPr>
        <w:ind w:left="525" w:hanging="525"/>
        <w:spacing w:after="0"/>
        <w:tabs>
          <w:tab w:leader="none" w:pos="525" w:val="left"/>
        </w:tabs>
        <w:numPr>
          <w:ilvl w:val="0"/>
          <w:numId w:val="31"/>
        </w:numPr>
        <w:rPr>
          <w:rFonts w:ascii="Arial" w:cs="Arial" w:eastAsia="Arial" w:hAnsi="Arial"/>
          <w:sz w:val="10"/>
          <w:szCs w:val="10"/>
          <w:color w:val="auto"/>
        </w:rPr>
      </w:pPr>
      <w:r>
        <w:rPr>
          <w:rFonts w:ascii="Arial" w:cs="Arial" w:eastAsia="Arial" w:hAnsi="Arial"/>
          <w:sz w:val="10"/>
          <w:szCs w:val="10"/>
          <w:color w:val="auto"/>
        </w:rPr>
        <w:t>Maintenance capital expenditures, net of contributions from noncontrolling interests, were $34.4 million and $21.9 million for the three months ended March 31, 2019 and 2018.</w:t>
      </w:r>
    </w:p>
    <w:p>
      <w:pPr>
        <w:spacing w:after="0" w:line="135" w:lineRule="exact"/>
        <w:rPr>
          <w:sz w:val="20"/>
          <w:szCs w:val="20"/>
          <w:color w:val="auto"/>
        </w:rPr>
      </w:pPr>
    </w:p>
    <w:p>
      <w:pPr>
        <w:jc w:val="both"/>
        <w:ind w:left="5"/>
        <w:spacing w:after="0" w:line="344" w:lineRule="auto"/>
        <w:rPr>
          <w:sz w:val="20"/>
          <w:szCs w:val="20"/>
          <w:color w:val="auto"/>
        </w:rPr>
      </w:pPr>
      <w:r>
        <w:rPr>
          <w:rFonts w:ascii="Arial" w:cs="Arial" w:eastAsia="Arial" w:hAnsi="Arial"/>
          <w:sz w:val="11"/>
          <w:szCs w:val="11"/>
          <w:color w:val="auto"/>
        </w:rPr>
        <w:t>We currently estimate that in 2019 we will invest approximately $2,300 million in net growth capital expenditures (exclusive of outlays for business acquisitions) and net contributions to investments in unconsolidated affiliates for announced projects. Future growth capital expenditures may vary significantly based on investment opportunities. We expect that 2019 net maintenance capital expenditures will be approximately $130 million.</w:t>
      </w:r>
    </w:p>
    <w:p>
      <w:pPr>
        <w:spacing w:after="0" w:line="89" w:lineRule="exact"/>
        <w:rPr>
          <w:sz w:val="20"/>
          <w:szCs w:val="20"/>
          <w:color w:val="auto"/>
        </w:rPr>
      </w:pPr>
    </w:p>
    <w:p>
      <w:pPr>
        <w:jc w:val="both"/>
        <w:ind w:left="5"/>
        <w:spacing w:after="0" w:line="248" w:lineRule="auto"/>
        <w:rPr>
          <w:sz w:val="20"/>
          <w:szCs w:val="20"/>
          <w:color w:val="auto"/>
        </w:rPr>
      </w:pPr>
      <w:r>
        <w:rPr>
          <w:rFonts w:ascii="Arial" w:cs="Arial" w:eastAsia="Arial" w:hAnsi="Arial"/>
          <w:sz w:val="13"/>
          <w:szCs w:val="13"/>
          <w:color w:val="auto"/>
        </w:rPr>
        <w:t>Total growth capital expenditures increased for the three months ended March 31, 2019 as compared to the three months ended March 31, 2018, primarily due to spending related to construction of Train 7 and Train 8, and additional processing plants and associated infrastructure in the Permian Basin. Total maintenance capital expenditures increased for the three months ended March 31, 2019 as compared to the three months ended March 31, 2018, primarily due to our increased asset base and additional infrastructure.</w:t>
      </w:r>
    </w:p>
    <w:p>
      <w:pPr>
        <w:spacing w:after="0" w:line="110" w:lineRule="exact"/>
        <w:rPr>
          <w:sz w:val="20"/>
          <w:szCs w:val="20"/>
          <w:color w:val="auto"/>
        </w:rPr>
      </w:pPr>
    </w:p>
    <w:p>
      <w:pPr>
        <w:ind w:left="5"/>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76" w:lineRule="exact"/>
        <w:rPr>
          <w:sz w:val="20"/>
          <w:szCs w:val="20"/>
          <w:color w:val="auto"/>
        </w:rPr>
      </w:pPr>
    </w:p>
    <w:p>
      <w:pPr>
        <w:jc w:val="both"/>
        <w:ind w:left="5" w:right="20"/>
        <w:spacing w:after="0" w:line="344" w:lineRule="auto"/>
        <w:rPr>
          <w:sz w:val="20"/>
          <w:szCs w:val="20"/>
          <w:color w:val="auto"/>
        </w:rPr>
      </w:pPr>
      <w:r>
        <w:rPr>
          <w:rFonts w:ascii="Arial" w:cs="Arial" w:eastAsia="Arial" w:hAnsi="Arial"/>
          <w:sz w:val="11"/>
          <w:szCs w:val="11"/>
          <w:color w:val="auto"/>
        </w:rPr>
        <w:t>As of March 31, 2019, there were $56.5 million in surety bonds outstanding related to various performance obligations. These are in place to support various performance obligations as required by (i) statutes within the regulatory jurisdictions where we operate and (ii) counterparty support. Obligations under these surety bonds are not normally called, as we typically comply with the underlying performance requirement.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32536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281" w:right="19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Our principal market risks are our exposure to changes in commodity prices, particularly to the prices of natural gas, NGLs and crude oil, changes in interest rates, as well as nonperformance by our customers.</w:t>
      </w: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Risk Management</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evaluate counterparty risks related to our commodity derivative contracts and trade credit. We have all our commodity derivatives with major financial institutions or major energy companies. Should any of these financial counterparties not perform, we may not realize the benefit of some of our hedges under lower commodity prices, which could have a material adverse effect on our results of operations. We sell our natural gas, NGLs and condensate to a variety of purchasers. Non-performance by a trade creditor could result in losses.</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Crude oil, NGL and natural gas prices are also volatile. In an effort to reduce the variability of our cash flows, we have entered into derivative instruments to hedge the commodity price associated with a portion of our expected natural gas, NGL and condensate equity volumes, future commodity purchases and sales, and transportation basis risk through 2023. Market conditions may also impact our ability to enter into future commodity derivative contracts.</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Commodity Price Risk</w:t>
      </w:r>
    </w:p>
    <w:p>
      <w:pPr>
        <w:spacing w:after="0" w:line="76" w:lineRule="exact"/>
        <w:rPr>
          <w:sz w:val="20"/>
          <w:szCs w:val="20"/>
          <w:color w:val="auto"/>
        </w:rPr>
      </w:pPr>
    </w:p>
    <w:p>
      <w:pPr>
        <w:jc w:val="both"/>
        <w:ind w:right="20"/>
        <w:spacing w:after="0" w:line="315" w:lineRule="auto"/>
        <w:rPr>
          <w:sz w:val="20"/>
          <w:szCs w:val="20"/>
          <w:color w:val="auto"/>
        </w:rPr>
      </w:pPr>
      <w:r>
        <w:rPr>
          <w:rFonts w:ascii="Arial" w:cs="Arial" w:eastAsia="Arial" w:hAnsi="Arial"/>
          <w:sz w:val="11"/>
          <w:szCs w:val="11"/>
          <w:color w:val="auto"/>
        </w:rPr>
        <w:t>A significant portion of our revenues are derived from percent-of-proceeds contracts under which we receive a portion of the proceeds from the sale of natural gas and/or NGLs as payment for services. The prices of natural gas, NGLs and crude oil are subject to fluctuations in response to changes in supply, demand, market uncertainty and a variety of additional factors beyond our control. We monitor these risks and enter into hedging transactions designed to mitigate the impact of commodity price fluctuations on our business. Cash flows from a derivative instrument designated as a hedge are classified in the same category as the cash flows from the item being hedged.</w:t>
      </w:r>
    </w:p>
    <w:p>
      <w:pPr>
        <w:spacing w:after="0" w:line="104"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primary purpose of our commodity risk management activities is to hedge some of the exposure to commodity price risk and reduce fluctuations in our operating cash flow due to fluctuations in commodity prices. In an effort to reduce the variability of our cash flows, as of March 31, 2019, we have hedged the commodity price associated with a portion of our expected (i) natural gas, NGL, and condensate equity volumes in our Gathering and Processing operations that result from our percent-of-proceeds processing arrangements, (ii) future commodity purchases and sales in our Logistics and Marketing segment and (iii) natural gas transportation basis risk in our Logistics and Marketing segment by entering into derivative instruments. We hedge a higher percentage of our expected equity volumes in the current year compared to future years, for which we hedge incrementally lower percentages of expected equity volumes. With swaps, we typically receive an agreed fixed price for a specified notional quantity of natural gas or NGLs and we pay the hedge counterparty a floating price for that same quantity based upon published index prices. Since we receive from our customers substantially the same floating index price from the sale of the underlying physical commodity, these transactions are designed to effectively lock-in the agreed fixed price in advance for the volumes hedged. In order to avoid having a greater volume hedged than our actual equity volumes, we typically limit our use of swaps to hedge the prices of less than our expected natural gas and NGL equity volumes. We utilize purchased puts (or floors) and calls (or caps) to hedge additional expected equity commodity volumes without creating volumetric risk. We may buy calls in connection with swap positions to create a price floor with upside. We intend to continue to manage our exposure to commodity prices in the future by entering into derivative transactions using swaps, collars, purchased puts (or floors), futures or other derivative instruments as market conditions permit.</w:t>
      </w:r>
    </w:p>
    <w:p>
      <w:pPr>
        <w:spacing w:after="0" w:line="271" w:lineRule="exact"/>
        <w:rPr>
          <w:sz w:val="20"/>
          <w:szCs w:val="20"/>
          <w:color w:val="auto"/>
        </w:rPr>
      </w:pPr>
    </w:p>
    <w:p>
      <w:pPr>
        <w:jc w:val="both"/>
        <w:ind w:right="20"/>
        <w:spacing w:after="0" w:line="305" w:lineRule="auto"/>
        <w:rPr>
          <w:sz w:val="20"/>
          <w:szCs w:val="20"/>
          <w:color w:val="auto"/>
        </w:rPr>
      </w:pPr>
      <w:r>
        <w:rPr>
          <w:rFonts w:ascii="Arial" w:cs="Arial" w:eastAsia="Arial" w:hAnsi="Arial"/>
          <w:sz w:val="11"/>
          <w:szCs w:val="11"/>
          <w:color w:val="auto"/>
        </w:rPr>
        <w:t>When entering into new hedges, we intend to generally match the NGL product composition and the NGL and natural gas delivery points to those of our physical equity volumes. The NGL hedges cover specific NGL products based upon the expected equity NGL composition. We believe this strategy avoids uncorrelated risks resulting from employing hedges on crude oil or other petroleum products as “proxy” hedges of NGL prices. The fair value of our natural gas and NGL hedges are based on published index prices for delivery at various locations, which closely approximate the actual natural gas and NGL delivery points. A portion of our condensate sales are hedged using crude oil hedges that are based on the NYMEX futures contracts for West Texas Intermediate light, sweet crude.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353" w:right="199" w:bottom="1440" w:gutter="0" w:footer="0" w:header="0"/>
        </w:sectPr>
      </w:pPr>
    </w:p>
    <w:bookmarkStart w:id="44" w:name="page45"/>
    <w:bookmarkEnd w:id="44"/>
    <w:p>
      <w:pPr>
        <w:jc w:val="both"/>
        <w:spacing w:after="0" w:line="295" w:lineRule="auto"/>
        <w:rPr>
          <w:sz w:val="20"/>
          <w:szCs w:val="20"/>
          <w:color w:val="auto"/>
        </w:rPr>
      </w:pPr>
      <w:r>
        <w:rPr>
          <w:rFonts w:ascii="Arial" w:cs="Arial" w:eastAsia="Arial" w:hAnsi="Arial"/>
          <w:sz w:val="11"/>
          <w:szCs w:val="11"/>
          <w:color w:val="auto"/>
        </w:rPr>
        <w:t>A majority of these commodity price hedges are documented pursuant to a standard International Swap Dealers Association form with customized credit and legal terms. The principal counterparties (or, if applicable, their guarantors) have investment grade credit ratings. Our payment obligations in connection with substantially all of these hedging transactions and any additional credit exposure due to a rise in commodity prices relative to the fixed prices set forth in the hedges are secured by a first priority lien in the collateral securing our senior secured indebtedness that ranks equal in right of payment with liens granted in favor of our senior secured lenders. Absent federal regulations resulting from the Dodd-Frank Act, and as long as this first priority lien is in effect, we expect to have no obligation to post cash, letters of credit or other additional collateral to secure these hedges at any time, even if a counterparty’s exposure to our credit increases over the term of the hedge as a result of higher commodity prices or because there has been a change in our creditworthiness. A purchased put (or floor) transaction does not expose our counterparties to credit risk, as we have no obligation to make future payments beyond the premium paid to enter into the transaction; however, we are exposed to the risk of default by the counterparty, which is the risk that the counterparty will not honor its obligation under the put transaction.</w:t>
      </w:r>
    </w:p>
    <w:p>
      <w:pPr>
        <w:spacing w:after="0" w:line="116"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We also enter into commodity price hedging transactions using futures contracts on futures exchanges. Exchange traded futures are subject to exchange margin requirements, so we may have to increase our cash deposit due to a rise in natural gas and NGL prices. Unlike bilateral hedges, we are not subject to counterparty credit risks when using futures on futures exchanges.</w:t>
      </w:r>
    </w:p>
    <w:p>
      <w:pPr>
        <w:spacing w:after="0" w:line="98" w:lineRule="exact"/>
        <w:rPr>
          <w:sz w:val="20"/>
          <w:szCs w:val="20"/>
          <w:color w:val="auto"/>
        </w:rPr>
      </w:pPr>
    </w:p>
    <w:p>
      <w:pPr>
        <w:jc w:val="both"/>
        <w:ind w:right="20"/>
        <w:spacing w:after="0" w:line="344" w:lineRule="auto"/>
        <w:rPr>
          <w:sz w:val="20"/>
          <w:szCs w:val="20"/>
          <w:color w:val="auto"/>
        </w:rPr>
      </w:pPr>
      <w:r>
        <w:rPr>
          <w:rFonts w:ascii="Arial" w:cs="Arial" w:eastAsia="Arial" w:hAnsi="Arial"/>
          <w:sz w:val="11"/>
          <w:szCs w:val="11"/>
          <w:color w:val="auto"/>
        </w:rPr>
        <w:t>These contracts may expose us to the risk of financial loss in certain circumstances. Generally, our hedging arrangements provide us protection on the hedged volumes if prices decline below the prices at which these hedges are set. If prices rise above the prices at which they have been hedged, we will receive less revenue on the hedged volumes than we would receive in the absence of hedges (other than with respect to purchased calls).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To analyze the risk associated with our derivative instruments, we utilize a sensitivity analysis. The sensitivity analysis measures the change in fair value of our derivative instruments based on a hypothetical 10% change in the underlying commodity prices, but does not reflect the impact that the same hypothetical price movement would have on the related hedged items. The financial statement impact on the fair value of a derivative instrument resulting from a change in commodity price would normally be offset by a corresponding gain or loss on the hedged item under hedge accounting. The fair values of our derivative instruments are also influenced by changes in market volatility for option contracts and the discount rates used to determine the present values.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effect of hypothetical price movements on the estimated fair value of our derivative instruments as of March 31, 2019:</w:t>
      </w:r>
    </w:p>
    <w:p>
      <w:pPr>
        <w:spacing w:after="0" w:line="52" w:lineRule="exact"/>
        <w:rPr>
          <w:sz w:val="20"/>
          <w:szCs w:val="20"/>
          <w:color w:val="auto"/>
        </w:rPr>
      </w:pPr>
    </w:p>
    <w:tbl>
      <w:tblPr>
        <w:tblLayout w:type="fixed"/>
        <w:tblInd w:w="560" w:type="dxa"/>
        <w:tblCellMar>
          <w:top w:w="0" w:type="dxa"/>
          <w:left w:w="0" w:type="dxa"/>
          <w:bottom w:w="0" w:type="dxa"/>
          <w:right w:w="0" w:type="dxa"/>
        </w:tblCellMar>
      </w:tblPr>
      <w:tr>
        <w:trPr>
          <w:trHeight w:val="118"/>
        </w:trPr>
        <w:tc>
          <w:tcPr>
            <w:tcW w:w="2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20" w:type="dxa"/>
            <w:vAlign w:val="bottom"/>
            <w:gridSpan w:val="3"/>
          </w:tcPr>
          <w:p>
            <w:pPr>
              <w:ind w:left="900"/>
              <w:spacing w:after="0"/>
              <w:rPr>
                <w:sz w:val="20"/>
                <w:szCs w:val="20"/>
                <w:color w:val="auto"/>
              </w:rPr>
            </w:pPr>
            <w:r>
              <w:rPr>
                <w:rFonts w:ascii="Arial" w:cs="Arial" w:eastAsia="Arial" w:hAnsi="Arial"/>
                <w:sz w:val="10"/>
                <w:szCs w:val="10"/>
                <w:b w:val="1"/>
                <w:bCs w:val="1"/>
                <w:color w:val="auto"/>
              </w:rPr>
              <w:t>Fair Value</w:t>
            </w:r>
          </w:p>
        </w:tc>
        <w:tc>
          <w:tcPr>
            <w:tcW w:w="700" w:type="dxa"/>
            <w:vAlign w:val="bottom"/>
          </w:tcPr>
          <w:p>
            <w:pPr>
              <w:spacing w:after="0"/>
              <w:rPr>
                <w:sz w:val="10"/>
                <w:szCs w:val="10"/>
                <w:color w:val="auto"/>
              </w:rPr>
            </w:pPr>
          </w:p>
        </w:tc>
        <w:tc>
          <w:tcPr>
            <w:tcW w:w="2180" w:type="dxa"/>
            <w:vAlign w:val="bottom"/>
            <w:gridSpan w:val="3"/>
          </w:tcPr>
          <w:p>
            <w:pPr>
              <w:ind w:left="660"/>
              <w:spacing w:after="0"/>
              <w:rPr>
                <w:sz w:val="20"/>
                <w:szCs w:val="20"/>
                <w:color w:val="auto"/>
              </w:rPr>
            </w:pPr>
            <w:r>
              <w:rPr>
                <w:rFonts w:ascii="Arial" w:cs="Arial" w:eastAsia="Arial" w:hAnsi="Arial"/>
                <w:sz w:val="10"/>
                <w:szCs w:val="10"/>
                <w:b w:val="1"/>
                <w:bCs w:val="1"/>
                <w:color w:val="auto"/>
              </w:rPr>
              <w:t>Result of 10% Price Decrease</w:t>
            </w:r>
          </w:p>
        </w:tc>
        <w:tc>
          <w:tcPr>
            <w:tcW w:w="760" w:type="dxa"/>
            <w:vAlign w:val="bottom"/>
          </w:tcPr>
          <w:p>
            <w:pPr>
              <w:spacing w:after="0"/>
              <w:rPr>
                <w:sz w:val="10"/>
                <w:szCs w:val="10"/>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Result of 10% Price Increase</w:t>
            </w:r>
          </w:p>
        </w:tc>
      </w:tr>
      <w:tr>
        <w:trPr>
          <w:trHeight w:val="102"/>
        </w:trPr>
        <w:tc>
          <w:tcPr>
            <w:tcW w:w="206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Natural gas</w:t>
            </w:r>
          </w:p>
        </w:tc>
        <w:tc>
          <w:tcPr>
            <w:tcW w:w="940" w:type="dxa"/>
            <w:vAlign w:val="bottom"/>
            <w:tcBorders>
              <w:top w:val="single" w:sz="8" w:color="auto"/>
            </w:tcBorders>
            <w:shd w:val="clear" w:color="auto" w:fill="CFF0FC"/>
          </w:tcPr>
          <w:p>
            <w:pPr>
              <w:jc w:val="right"/>
              <w:ind w:right="875"/>
              <w:spacing w:after="0"/>
              <w:rPr>
                <w:sz w:val="20"/>
                <w:szCs w:val="20"/>
                <w:color w:val="auto"/>
              </w:rPr>
            </w:pPr>
            <w:r>
              <w:rPr>
                <w:rFonts w:ascii="Arial" w:cs="Arial" w:eastAsia="Arial" w:hAnsi="Arial"/>
                <w:sz w:val="5"/>
                <w:szCs w:val="5"/>
                <w:color w:val="auto"/>
                <w:w w:val="70"/>
              </w:rPr>
              <w:t>$</w:t>
            </w:r>
          </w:p>
        </w:tc>
        <w:tc>
          <w:tcPr>
            <w:tcW w:w="13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27.7</w:t>
            </w: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jc w:val="right"/>
              <w:ind w:right="635"/>
              <w:spacing w:after="0"/>
              <w:rPr>
                <w:sz w:val="20"/>
                <w:szCs w:val="20"/>
                <w:color w:val="auto"/>
              </w:rPr>
            </w:pPr>
            <w:r>
              <w:rPr>
                <w:rFonts w:ascii="Arial" w:cs="Arial" w:eastAsia="Arial" w:hAnsi="Arial"/>
                <w:sz w:val="5"/>
                <w:szCs w:val="5"/>
                <w:color w:val="auto"/>
                <w:w w:val="70"/>
              </w:rPr>
              <w:t>$</w:t>
            </w:r>
          </w:p>
        </w:tc>
        <w:tc>
          <w:tcPr>
            <w:tcW w:w="19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57.3</w:t>
            </w: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760" w:type="dxa"/>
            <w:vAlign w:val="bottom"/>
            <w:tcBorders>
              <w:top w:val="single" w:sz="8" w:color="auto"/>
            </w:tcBorders>
            <w:shd w:val="clear" w:color="auto" w:fill="CFF0FC"/>
          </w:tcPr>
          <w:p>
            <w:pPr>
              <w:jc w:val="right"/>
              <w:ind w:right="695"/>
              <w:spacing w:after="0"/>
              <w:rPr>
                <w:sz w:val="20"/>
                <w:szCs w:val="20"/>
                <w:color w:val="auto"/>
              </w:rPr>
            </w:pPr>
            <w:r>
              <w:rPr>
                <w:rFonts w:ascii="Arial" w:cs="Arial" w:eastAsia="Arial" w:hAnsi="Arial"/>
                <w:sz w:val="5"/>
                <w:szCs w:val="5"/>
                <w:color w:val="auto"/>
                <w:w w:val="70"/>
              </w:rPr>
              <w:t>$</w:t>
            </w:r>
          </w:p>
        </w:tc>
        <w:tc>
          <w:tcPr>
            <w:tcW w:w="198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(1.8)</w:t>
            </w:r>
          </w:p>
        </w:tc>
        <w:tc>
          <w:tcPr>
            <w:tcW w:w="100" w:type="dxa"/>
            <w:vAlign w:val="bottom"/>
            <w:tcBorders>
              <w:top w:val="single" w:sz="8" w:color="CFF0FC"/>
            </w:tcBorders>
            <w:shd w:val="clear" w:color="auto" w:fill="CFF0FC"/>
          </w:tcPr>
          <w:p>
            <w:pPr>
              <w:spacing w:after="0"/>
              <w:rPr>
                <w:sz w:val="8"/>
                <w:szCs w:val="8"/>
                <w:color w:val="auto"/>
              </w:rPr>
            </w:pPr>
          </w:p>
        </w:tc>
      </w:tr>
      <w:tr>
        <w:trPr>
          <w:trHeight w:val="113"/>
        </w:trPr>
        <w:tc>
          <w:tcPr>
            <w:tcW w:w="2060" w:type="dxa"/>
            <w:vAlign w:val="bottom"/>
          </w:tcPr>
          <w:p>
            <w:pPr>
              <w:spacing w:after="0" w:line="113" w:lineRule="exact"/>
              <w:rPr>
                <w:sz w:val="20"/>
                <w:szCs w:val="20"/>
                <w:color w:val="auto"/>
              </w:rPr>
            </w:pPr>
            <w:r>
              <w:rPr>
                <w:rFonts w:ascii="Arial" w:cs="Arial" w:eastAsia="Arial" w:hAnsi="Arial"/>
                <w:sz w:val="10"/>
                <w:szCs w:val="10"/>
                <w:color w:val="auto"/>
              </w:rPr>
              <w:t>NGLs</w:t>
            </w:r>
          </w:p>
        </w:tc>
        <w:tc>
          <w:tcPr>
            <w:tcW w:w="940" w:type="dxa"/>
            <w:vAlign w:val="bottom"/>
          </w:tcPr>
          <w:p>
            <w:pPr>
              <w:spacing w:after="0"/>
              <w:rPr>
                <w:sz w:val="9"/>
                <w:szCs w:val="9"/>
                <w:color w:val="auto"/>
              </w:rPr>
            </w:pPr>
          </w:p>
        </w:tc>
        <w:tc>
          <w:tcPr>
            <w:tcW w:w="1360" w:type="dxa"/>
            <w:vAlign w:val="bottom"/>
          </w:tcPr>
          <w:p>
            <w:pPr>
              <w:jc w:val="right"/>
              <w:spacing w:after="0" w:line="113" w:lineRule="exact"/>
              <w:rPr>
                <w:sz w:val="20"/>
                <w:szCs w:val="20"/>
                <w:color w:val="auto"/>
              </w:rPr>
            </w:pPr>
            <w:r>
              <w:rPr>
                <w:rFonts w:ascii="Arial" w:cs="Arial" w:eastAsia="Arial" w:hAnsi="Arial"/>
                <w:sz w:val="10"/>
                <w:szCs w:val="10"/>
                <w:color w:val="auto"/>
              </w:rPr>
              <w:t>23.2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920" w:type="dxa"/>
            <w:vAlign w:val="bottom"/>
          </w:tcPr>
          <w:p>
            <w:pPr>
              <w:jc w:val="right"/>
              <w:spacing w:after="0" w:line="113" w:lineRule="exact"/>
              <w:rPr>
                <w:sz w:val="20"/>
                <w:szCs w:val="20"/>
                <w:color w:val="auto"/>
              </w:rPr>
            </w:pPr>
            <w:r>
              <w:rPr>
                <w:rFonts w:ascii="Arial" w:cs="Arial" w:eastAsia="Arial" w:hAnsi="Arial"/>
                <w:sz w:val="10"/>
                <w:szCs w:val="10"/>
                <w:color w:val="auto"/>
              </w:rPr>
              <w:t>59.4</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(12.9)</w:t>
            </w:r>
          </w:p>
        </w:tc>
      </w:tr>
      <w:tr>
        <w:trPr>
          <w:trHeight w:val="113"/>
        </w:trPr>
        <w:tc>
          <w:tcPr>
            <w:tcW w:w="206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Crude oil</w:t>
            </w:r>
          </w:p>
        </w:tc>
        <w:tc>
          <w:tcPr>
            <w:tcW w:w="940" w:type="dxa"/>
            <w:vAlign w:val="bottom"/>
            <w:shd w:val="clear" w:color="auto" w:fill="CFF0FC"/>
          </w:tcPr>
          <w:p>
            <w:pPr>
              <w:spacing w:after="0"/>
              <w:rPr>
                <w:sz w:val="9"/>
                <w:szCs w:val="9"/>
                <w:color w:val="auto"/>
              </w:rPr>
            </w:pPr>
          </w:p>
        </w:tc>
        <w:tc>
          <w:tcPr>
            <w:tcW w:w="1460" w:type="dxa"/>
            <w:vAlign w:val="bottom"/>
            <w:gridSpan w:val="2"/>
            <w:shd w:val="clear" w:color="auto" w:fill="CFF0FC"/>
          </w:tcPr>
          <w:p>
            <w:pPr>
              <w:jc w:val="right"/>
              <w:ind w:right="60"/>
              <w:spacing w:after="0" w:line="113" w:lineRule="exact"/>
              <w:rPr>
                <w:sz w:val="20"/>
                <w:szCs w:val="20"/>
                <w:color w:val="auto"/>
              </w:rPr>
            </w:pPr>
            <w:r>
              <w:rPr>
                <w:rFonts w:ascii="Arial" w:cs="Arial" w:eastAsia="Arial" w:hAnsi="Arial"/>
                <w:sz w:val="10"/>
                <w:szCs w:val="10"/>
                <w:color w:val="auto"/>
              </w:rPr>
              <w:t>(4.6)</w:t>
            </w:r>
          </w:p>
        </w:tc>
        <w:tc>
          <w:tcPr>
            <w:tcW w:w="1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9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12.5</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80" w:type="dxa"/>
            <w:vAlign w:val="bottom"/>
            <w:gridSpan w:val="2"/>
            <w:shd w:val="clear" w:color="auto" w:fill="CFF0FC"/>
          </w:tcPr>
          <w:p>
            <w:pPr>
              <w:jc w:val="right"/>
              <w:ind w:right="80"/>
              <w:spacing w:after="0" w:line="113" w:lineRule="exact"/>
              <w:rPr>
                <w:sz w:val="20"/>
                <w:szCs w:val="20"/>
                <w:color w:val="auto"/>
              </w:rPr>
            </w:pPr>
            <w:r>
              <w:rPr>
                <w:rFonts w:ascii="Arial" w:cs="Arial" w:eastAsia="Arial" w:hAnsi="Arial"/>
                <w:sz w:val="10"/>
                <w:szCs w:val="10"/>
                <w:color w:val="auto"/>
              </w:rPr>
              <w:t>(25.4)</w:t>
            </w:r>
          </w:p>
        </w:tc>
      </w:tr>
      <w:tr>
        <w:trPr>
          <w:trHeight w:val="111"/>
        </w:trPr>
        <w:tc>
          <w:tcPr>
            <w:tcW w:w="2060" w:type="dxa"/>
            <w:vAlign w:val="bottom"/>
          </w:tcPr>
          <w:p>
            <w:pPr>
              <w:spacing w:after="0" w:line="103" w:lineRule="exact"/>
              <w:rPr>
                <w:sz w:val="20"/>
                <w:szCs w:val="20"/>
                <w:color w:val="auto"/>
              </w:rPr>
            </w:pPr>
            <w:r>
              <w:rPr>
                <w:rFonts w:ascii="Arial" w:cs="Arial" w:eastAsia="Arial" w:hAnsi="Arial"/>
                <w:sz w:val="10"/>
                <w:szCs w:val="10"/>
                <w:color w:val="auto"/>
              </w:rPr>
              <w:t>Total</w:t>
            </w:r>
          </w:p>
        </w:tc>
        <w:tc>
          <w:tcPr>
            <w:tcW w:w="94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5"/>
                <w:szCs w:val="5"/>
                <w:color w:val="auto"/>
                <w:w w:val="70"/>
              </w:rPr>
              <w:t>$</w:t>
            </w:r>
          </w:p>
        </w:tc>
        <w:tc>
          <w:tcPr>
            <w:tcW w:w="13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46.3</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5"/>
                <w:szCs w:val="5"/>
                <w:color w:val="auto"/>
                <w:w w:val="70"/>
              </w:rPr>
              <w:t>$</w:t>
            </w:r>
          </w:p>
        </w:tc>
        <w:tc>
          <w:tcPr>
            <w:tcW w:w="192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129.2</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5"/>
                <w:szCs w:val="5"/>
                <w:color w:val="auto"/>
                <w:w w:val="70"/>
              </w:rPr>
              <w:t>$</w:t>
            </w:r>
          </w:p>
        </w:tc>
        <w:tc>
          <w:tcPr>
            <w:tcW w:w="198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(40.1)</w:t>
            </w:r>
          </w:p>
        </w:tc>
        <w:tc>
          <w:tcPr>
            <w:tcW w:w="100" w:type="dxa"/>
            <w:vAlign w:val="bottom"/>
          </w:tcPr>
          <w:p>
            <w:pPr>
              <w:spacing w:after="0"/>
              <w:rPr>
                <w:sz w:val="9"/>
                <w:szCs w:val="9"/>
                <w:color w:val="auto"/>
              </w:rPr>
            </w:pPr>
          </w:p>
        </w:tc>
      </w:tr>
    </w:tbl>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table above contains all derivative instruments outstanding as of the stated date for the purpose of hedging commodity price risk, which we are exposed to due to our equity volumes and future commodity purchases and sales, as well as basis differentials related to our gas transportation arrangements.</w:t>
      </w:r>
    </w:p>
    <w:p>
      <w:pPr>
        <w:spacing w:after="0" w:line="98" w:lineRule="exact"/>
        <w:rPr>
          <w:sz w:val="20"/>
          <w:szCs w:val="20"/>
          <w:color w:val="auto"/>
        </w:rPr>
      </w:pPr>
    </w:p>
    <w:p>
      <w:pPr>
        <w:jc w:val="both"/>
        <w:spacing w:after="0" w:line="315" w:lineRule="auto"/>
        <w:rPr>
          <w:sz w:val="20"/>
          <w:szCs w:val="20"/>
          <w:color w:val="auto"/>
        </w:rPr>
      </w:pPr>
      <w:r>
        <w:rPr>
          <w:rFonts w:ascii="Arial" w:cs="Arial" w:eastAsia="Arial" w:hAnsi="Arial"/>
          <w:sz w:val="11"/>
          <w:szCs w:val="11"/>
          <w:color w:val="auto"/>
        </w:rPr>
        <w:t>Our operating revenues increased (decreased) by $11.8 million and $(38.8) million during the three months ended March 31, 2019 and 2018, as a result of transactions accounted for as derivatives. We account for derivatives designated as hedges that mitigate commodity price risk as cash flow hedges. Changes in fair value are deferred in other comprehensive income until the underlying hedged transactions settle. We also enter into derivative instruments to help manage other short-term commodity-related business risks. We have not designated these derivatives as hedges and record changes in fair value and cash settlements to revenues.</w:t>
      </w:r>
    </w:p>
    <w:p>
      <w:pPr>
        <w:spacing w:after="0" w:line="66"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Our risk management position has moved from a net asset position of $112.7 million at December 31, 2018 to a net asset position of $46.3 million at March 31, 2019. The fixed prices we currently expect to receive on derivative contracts are above the aggregate forward prices for commodities related to those contracts, creating this net asset position.</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76" w:lineRule="exact"/>
        <w:rPr>
          <w:sz w:val="20"/>
          <w:szCs w:val="20"/>
          <w:color w:val="auto"/>
        </w:rPr>
      </w:pPr>
    </w:p>
    <w:p>
      <w:pPr>
        <w:jc w:val="both"/>
        <w:spacing w:after="0" w:line="305" w:lineRule="auto"/>
        <w:rPr>
          <w:sz w:val="20"/>
          <w:szCs w:val="20"/>
          <w:color w:val="auto"/>
        </w:rPr>
      </w:pPr>
      <w:r>
        <w:rPr>
          <w:rFonts w:ascii="Arial" w:cs="Arial" w:eastAsia="Arial" w:hAnsi="Arial"/>
          <w:sz w:val="11"/>
          <w:szCs w:val="11"/>
          <w:color w:val="auto"/>
        </w:rPr>
        <w:t>We are exposed to the risk of changes in interest rates, primarily as a result of variable rate borrowings under the TRP Revolver and the Securitization Facility. As of March 31, 2019, we do not have any interest rate hedges. However, we may enter into interest rate hedges in the future with the intent to mitigate the impact of changes in interest rates on cash flows. To the extent that interest rates increase, interest expense for the TRP Revolver and the Securitization Facility will also increase. As of March 31, 2019, we had $977.6 million in outstanding variable rate borrowings under the TRP Revolver and the Securitization Facility. A hypothetical change of 100 basis points in the interest rate of our variable rate debt would impact our annual interest expense by $9.8 million based on our March 31, 2019 debt balances.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432" w:right="19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i w:val="1"/>
          <w:iCs w:val="1"/>
          <w:color w:val="auto"/>
        </w:rPr>
        <w:t>Counterparty Credit Risk</w:t>
      </w:r>
    </w:p>
    <w:p>
      <w:pPr>
        <w:spacing w:after="0" w:line="123" w:lineRule="exact"/>
        <w:rPr>
          <w:sz w:val="20"/>
          <w:szCs w:val="20"/>
          <w:color w:val="auto"/>
        </w:rPr>
      </w:pPr>
    </w:p>
    <w:p>
      <w:pPr>
        <w:jc w:val="both"/>
        <w:spacing w:after="0" w:line="297" w:lineRule="auto"/>
        <w:rPr>
          <w:sz w:val="20"/>
          <w:szCs w:val="20"/>
          <w:color w:val="auto"/>
        </w:rPr>
      </w:pPr>
      <w:r>
        <w:rPr>
          <w:rFonts w:ascii="Arial" w:cs="Arial" w:eastAsia="Arial" w:hAnsi="Arial"/>
          <w:sz w:val="11"/>
          <w:szCs w:val="11"/>
          <w:color w:val="auto"/>
        </w:rPr>
        <w:t>We are subject to risk of losses resulting from nonpayment or nonperformance by our counterparties. The credit exposure related to commodity derivative instruments is represented by the fair value of the asset position (i.e. the fair value of expected future receipts) at the reporting date. Our futures contracts have limited credit risk since they are cleared through an exchange and are margined daily. Should the creditworthiness of one or more of the counterparties decline, our ability to mitigate nonperformance risk is limited to a counterparty agreeing to either a voluntary termination and subsequent cash settlement or a novation of the derivative contract to a third party. In the event of a counterparty default, we may sustain a loss and our cash receipts could be negatively impacted. We have master netting provisions in the International Swap Dealers Association agreements with our derivative counterparties. These netting provisions allow us to net settle asset and liability positions with the same counterparties within the same Targa entity, and would reduce our maximum loss due to counterparty credit risk by $52.7 million as of March 31, 2019. The range of losses attributable to our individual counterparties as of March 31, 2019 would be between less than $0.1 million and $21.6 million, depending on the counterparty in default.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Customer Credit Risk</w:t>
      </w:r>
    </w:p>
    <w:p>
      <w:pPr>
        <w:spacing w:after="0" w:line="76"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We extend credit to customers and other parties in the normal course of business. We have an established policy and various procedures to manage our credit exposure risk, including performing initial and subsequent credit risk analyses, setting maximum credit limits and terms and requiring credit enhancements when necessary. We use credit enhancements including (but not limited to) letters of credit, prepayments, parental guarantees and rights of offset to limit credit risk to ensure that our established credit criteria are followed and financial loss is mitigated or minimized.</w:t>
      </w:r>
    </w:p>
    <w:p>
      <w:pPr>
        <w:spacing w:after="0" w:line="139"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We have an active credit management process, which is focused on controlling loss exposure to bankruptcies or other liquidity issues of counterparties. If an assessment of uncollectible accounts resulted in a 1% reduction of our third-party accounts receivable as of March 31, 2019, our operating income would decrease by $7.5 million in the year of the assessment.</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During the three months ended March 31, 2019 and 2018, sales of commodities and fees from midstream services provided to Petredec (Europe) Limited comprised approximately 12% and 14% of our consolidated revenues.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80" w:lineRule="exact"/>
        <w:rPr>
          <w:sz w:val="20"/>
          <w:szCs w:val="20"/>
          <w:color w:val="auto"/>
        </w:rPr>
      </w:pPr>
    </w:p>
    <w:p>
      <w:pPr>
        <w:jc w:val="both"/>
        <w:ind w:right="20"/>
        <w:spacing w:after="0" w:line="300" w:lineRule="auto"/>
        <w:rPr>
          <w:sz w:val="20"/>
          <w:szCs w:val="20"/>
          <w:color w:val="auto"/>
        </w:rPr>
      </w:pPr>
      <w:r>
        <w:rPr>
          <w:rFonts w:ascii="Arial" w:cs="Arial" w:eastAsia="Arial" w:hAnsi="Arial"/>
          <w:sz w:val="11"/>
          <w:szCs w:val="11"/>
          <w:color w:val="auto"/>
        </w:rPr>
        <w:t xml:space="preserve">Management, </w:t>
      </w:r>
      <w:r>
        <w:rPr>
          <w:rFonts w:ascii="Arial" w:cs="Arial" w:eastAsia="Arial" w:hAnsi="Arial"/>
          <w:sz w:val="11"/>
          <w:szCs w:val="11"/>
          <w:color w:val="222222"/>
        </w:rPr>
        <w:t>with</w:t>
      </w:r>
      <w:r>
        <w:rPr>
          <w:rFonts w:ascii="Arial" w:cs="Arial" w:eastAsia="Arial" w:hAnsi="Arial"/>
          <w:sz w:val="11"/>
          <w:szCs w:val="11"/>
          <w:color w:val="auto"/>
        </w:rPr>
        <w:t xml:space="preserve"> the participation of our Chief Executive Officer and Chief Financial Officer, has evaluated the design and effectiveness of our disclosure controls and procedures, as such term is defined in Rules 13a-15(e) and 15d-15(e) under the Securities Exchange Act of 1934, as amended (the “Exchange Act”) as of the end of the period covered in this Quarterly Report. Based on such evaluation, our Chief Executive Officer and Chief Financial Officer have concluded that, as of March 31, 2019, the design and operation of our disclosure controls and procedures were effective to provide reasonable assurance that information required to be disclosed in our reports filed or submitted under the Exchange Act is (i) recorded, processed, summarized and reported within the time periods specified in the rules and forms of the SEC and (ii) accumulated and communicated to management, including our Chief Executive Officer and Chief Financial Officer, as appropriate, to allow for timely decisions regarding required disclosure.</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80"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 xml:space="preserve">There </w:t>
      </w:r>
      <w:r>
        <w:rPr>
          <w:rFonts w:ascii="Arial" w:cs="Arial" w:eastAsia="Arial" w:hAnsi="Arial"/>
          <w:sz w:val="13"/>
          <w:szCs w:val="13"/>
          <w:color w:val="222222"/>
        </w:rPr>
        <w:t>have been no changes in our internal control over financial reporting that occurred during the quarter that materially affected, or are reasonably likely to materially affect, our internal control over financial reporting, during</w:t>
      </w:r>
      <w:r>
        <w:rPr>
          <w:rFonts w:ascii="Arial" w:cs="Arial" w:eastAsia="Arial" w:hAnsi="Arial"/>
          <w:sz w:val="13"/>
          <w:szCs w:val="13"/>
          <w:color w:val="auto"/>
        </w:rPr>
        <w:t xml:space="preserve"> </w:t>
      </w:r>
      <w:r>
        <w:rPr>
          <w:rFonts w:ascii="Arial" w:cs="Arial" w:eastAsia="Arial" w:hAnsi="Arial"/>
          <w:sz w:val="13"/>
          <w:szCs w:val="13"/>
          <w:color w:val="222222"/>
        </w:rPr>
        <w:t>our most recent fiscal quarter.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0"/>
          </w:cols>
          <w:pgMar w:left="220" w:top="507" w:right="199" w:bottom="1440" w:gutter="0" w:footer="0" w:header="0"/>
        </w:sectPr>
      </w:pPr>
    </w:p>
    <w:bookmarkStart w:id="46" w:name="page47"/>
    <w:bookmarkEnd w:id="46"/>
    <w:p>
      <w:pPr>
        <w:jc w:val="center"/>
        <w:spacing w:after="0"/>
        <w:rPr>
          <w:sz w:val="20"/>
          <w:szCs w:val="20"/>
          <w:color w:val="auto"/>
        </w:rPr>
      </w:pPr>
      <w:r>
        <w:rPr>
          <w:rFonts w:ascii="Arial" w:cs="Arial" w:eastAsia="Arial" w:hAnsi="Arial"/>
          <w:sz w:val="13"/>
          <w:szCs w:val="13"/>
          <w:b w:val="1"/>
          <w:bCs w:val="1"/>
          <w:color w:val="auto"/>
        </w:rPr>
        <w:t>PART II – OTHER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The information required for this item is provided in Note 16 – Contingencies, under the heading “Legal Proceedings” included in the Notes to Consolidated Financial Statements included under Part I, Item 1 of this Quarterly Report, which is incorporated by reference into this item.</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For an in-depth discussion of our risk factors, see “Part I—Item 1A. Risk Factors” of our Annual Report. All of these risks and uncertainties could adversely affect our business, financial condition and/or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 Sales of Unregistered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Repurchase of Equity by Targa Resources Partners LP or Affiliated Purchasers.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32536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60"/>
          </w:cols>
          <w:pgMar w:left="220" w:top="277" w:right="21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auto"/>
        </w:rPr>
        <w:t>Item 6. 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780" w:type="dxa"/>
            <w:vAlign w:val="bottom"/>
            <w:tcBorders>
              <w:bottom w:val="single" w:sz="8" w:color="auto"/>
            </w:tcBorders>
            <w:gridSpan w:val="7"/>
          </w:tcPr>
          <w:p>
            <w:pPr>
              <w:spacing w:after="0"/>
              <w:rPr>
                <w:sz w:val="20"/>
                <w:szCs w:val="20"/>
                <w:color w:val="auto"/>
              </w:rPr>
            </w:pPr>
            <w:r>
              <w:rPr>
                <w:rFonts w:ascii="Arial" w:cs="Arial" w:eastAsia="Arial" w:hAnsi="Arial"/>
                <w:sz w:val="10"/>
                <w:szCs w:val="10"/>
                <w:b w:val="1"/>
                <w:bCs w:val="1"/>
                <w:color w:val="auto"/>
              </w:rPr>
              <w:t>Description</w:t>
            </w:r>
          </w:p>
        </w:tc>
        <w:tc>
          <w:tcPr>
            <w:tcW w:w="20" w:type="dxa"/>
            <w:vAlign w:val="bottom"/>
          </w:tcPr>
          <w:p>
            <w:pPr>
              <w:spacing w:after="0"/>
              <w:rPr>
                <w:sz w:val="10"/>
                <w:szCs w:val="10"/>
                <w:color w:val="auto"/>
              </w:rPr>
            </w:pPr>
          </w:p>
        </w:tc>
      </w:tr>
      <w:tr>
        <w:trPr>
          <w:trHeight w:val="215"/>
        </w:trPr>
        <w:tc>
          <w:tcPr>
            <w:tcW w:w="900" w:type="dxa"/>
            <w:vAlign w:val="bottom"/>
          </w:tcPr>
          <w:p>
            <w:pPr>
              <w:jc w:val="center"/>
              <w:spacing w:after="0"/>
              <w:rPr>
                <w:sz w:val="20"/>
                <w:szCs w:val="20"/>
                <w:color w:val="auto"/>
              </w:rPr>
            </w:pPr>
            <w:r>
              <w:rPr>
                <w:rFonts w:ascii="Arial" w:cs="Arial" w:eastAsia="Arial" w:hAnsi="Arial"/>
                <w:sz w:val="13"/>
                <w:szCs w:val="13"/>
                <w:color w:val="auto"/>
                <w:w w:val="88"/>
              </w:rPr>
              <w:t>3.1</w:t>
            </w:r>
          </w:p>
        </w:tc>
        <w:tc>
          <w:tcPr>
            <w:tcW w:w="80" w:type="dxa"/>
            <w:vAlign w:val="bottom"/>
          </w:tcPr>
          <w:p>
            <w:pPr>
              <w:spacing w:after="0"/>
              <w:rPr>
                <w:sz w:val="18"/>
                <w:szCs w:val="18"/>
                <w:color w:val="auto"/>
              </w:rPr>
            </w:pPr>
          </w:p>
        </w:tc>
        <w:tc>
          <w:tcPr>
            <w:tcW w:w="10500" w:type="dxa"/>
            <w:vAlign w:val="bottom"/>
            <w:gridSpan w:val="16"/>
          </w:tcPr>
          <w:p>
            <w:pPr>
              <w:spacing w:after="0"/>
              <w:rPr>
                <w:rFonts w:ascii="Arial" w:cs="Arial" w:eastAsia="Arial" w:hAnsi="Arial"/>
                <w:sz w:val="13"/>
                <w:szCs w:val="13"/>
                <w:color w:val="0000EE"/>
              </w:rPr>
            </w:pPr>
            <w:hyperlink r:id="rId84">
              <w:r>
                <w:rPr>
                  <w:rFonts w:ascii="Arial" w:cs="Arial" w:eastAsia="Arial" w:hAnsi="Arial"/>
                  <w:sz w:val="13"/>
                  <w:szCs w:val="13"/>
                  <w:color w:val="0000EE"/>
                </w:rPr>
                <w:t>Certificate of Limited Partnership of Targa Resources Partners LP (incorporated by reference to Exhibit 3.2 to Targa Resources Partners LP’s Registration Statement on Form S-1</w:t>
              </w:r>
            </w:hyperlink>
          </w:p>
        </w:tc>
        <w:tc>
          <w:tcPr>
            <w:tcW w:w="20" w:type="dxa"/>
            <w:vAlign w:val="bottom"/>
          </w:tcPr>
          <w:p>
            <w:pPr>
              <w:spacing w:after="0"/>
              <w:rPr>
                <w:sz w:val="18"/>
                <w:szCs w:val="18"/>
                <w:color w:val="auto"/>
              </w:rPr>
            </w:pPr>
          </w:p>
        </w:tc>
      </w:tr>
      <w:tr>
        <w:trPr>
          <w:trHeight w:val="131"/>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80" w:type="dxa"/>
            <w:vAlign w:val="bottom"/>
            <w:tcBorders>
              <w:top w:val="single" w:sz="8" w:color="0000EE"/>
              <w:bottom w:val="single" w:sz="8" w:color="0000EE"/>
            </w:tcBorders>
            <w:gridSpan w:val="5"/>
          </w:tcPr>
          <w:p>
            <w:pPr>
              <w:spacing w:after="0" w:line="131" w:lineRule="exact"/>
              <w:rPr>
                <w:rFonts w:ascii="Arial" w:cs="Arial" w:eastAsia="Arial" w:hAnsi="Arial"/>
                <w:sz w:val="13"/>
                <w:szCs w:val="13"/>
                <w:color w:val="0000EE"/>
                <w:w w:val="87"/>
              </w:rPr>
            </w:pPr>
            <w:hyperlink r:id="rId84">
              <w:r>
                <w:rPr>
                  <w:rFonts w:ascii="Arial" w:cs="Arial" w:eastAsia="Arial" w:hAnsi="Arial"/>
                  <w:sz w:val="13"/>
                  <w:szCs w:val="13"/>
                  <w:color w:val="0000EE"/>
                  <w:w w:val="87"/>
                </w:rPr>
                <w:t>filed November 16, 2006 (File No. 333-138747)).</w:t>
              </w:r>
            </w:hyperlink>
          </w:p>
        </w:tc>
        <w:tc>
          <w:tcPr>
            <w:tcW w:w="6480" w:type="dxa"/>
            <w:vAlign w:val="bottom"/>
            <w:tcBorders>
              <w:top w:val="single" w:sz="8" w:color="0000EE"/>
            </w:tcBorders>
            <w:gridSpan w:val="10"/>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4"/>
        </w:trPr>
        <w:tc>
          <w:tcPr>
            <w:tcW w:w="900" w:type="dxa"/>
            <w:vAlign w:val="bottom"/>
          </w:tcPr>
          <w:p>
            <w:pPr>
              <w:jc w:val="center"/>
              <w:spacing w:after="0"/>
              <w:rPr>
                <w:sz w:val="20"/>
                <w:szCs w:val="20"/>
                <w:color w:val="auto"/>
              </w:rPr>
            </w:pPr>
            <w:r>
              <w:rPr>
                <w:rFonts w:ascii="Arial" w:cs="Arial" w:eastAsia="Arial" w:hAnsi="Arial"/>
                <w:sz w:val="13"/>
                <w:szCs w:val="13"/>
                <w:color w:val="auto"/>
                <w:w w:val="88"/>
              </w:rPr>
              <w:t>3.2</w:t>
            </w:r>
          </w:p>
        </w:tc>
        <w:tc>
          <w:tcPr>
            <w:tcW w:w="80" w:type="dxa"/>
            <w:vAlign w:val="bottom"/>
          </w:tcPr>
          <w:p>
            <w:pPr>
              <w:spacing w:after="0"/>
              <w:rPr>
                <w:sz w:val="20"/>
                <w:szCs w:val="20"/>
                <w:color w:val="auto"/>
              </w:rPr>
            </w:pPr>
          </w:p>
        </w:tc>
        <w:tc>
          <w:tcPr>
            <w:tcW w:w="10500" w:type="dxa"/>
            <w:vAlign w:val="bottom"/>
            <w:gridSpan w:val="16"/>
          </w:tcPr>
          <w:p>
            <w:pPr>
              <w:spacing w:after="0"/>
              <w:rPr>
                <w:rFonts w:ascii="Arial" w:cs="Arial" w:eastAsia="Arial" w:hAnsi="Arial"/>
                <w:sz w:val="13"/>
                <w:szCs w:val="13"/>
                <w:color w:val="0000EE"/>
              </w:rPr>
            </w:pPr>
            <w:hyperlink r:id="rId85">
              <w:r>
                <w:rPr>
                  <w:rFonts w:ascii="Arial" w:cs="Arial" w:eastAsia="Arial" w:hAnsi="Arial"/>
                  <w:sz w:val="13"/>
                  <w:szCs w:val="13"/>
                  <w:color w:val="0000EE"/>
                </w:rPr>
                <w:t>Certificate of Formation of Targa Resources GP LLC (incorporated by reference to Exhibit 3.3 to Targa Resources Partners LP’s Registration Statement on Form S-1/A filed</w:t>
              </w:r>
            </w:hyperlink>
          </w:p>
        </w:tc>
        <w:tc>
          <w:tcPr>
            <w:tcW w:w="20" w:type="dxa"/>
            <w:vAlign w:val="bottom"/>
          </w:tcPr>
          <w:p>
            <w:pPr>
              <w:spacing w:after="0"/>
              <w:rPr>
                <w:sz w:val="20"/>
                <w:szCs w:val="20"/>
                <w:color w:val="auto"/>
              </w:rPr>
            </w:pPr>
          </w:p>
        </w:tc>
      </w:tr>
      <w:tr>
        <w:trPr>
          <w:trHeight w:val="131"/>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Borders>
              <w:top w:val="single" w:sz="8" w:color="0000EE"/>
              <w:bottom w:val="single" w:sz="8" w:color="0000EE"/>
            </w:tcBorders>
            <w:gridSpan w:val="4"/>
          </w:tcPr>
          <w:p>
            <w:pPr>
              <w:spacing w:after="0" w:line="131" w:lineRule="exact"/>
              <w:rPr>
                <w:rFonts w:ascii="Arial" w:cs="Arial" w:eastAsia="Arial" w:hAnsi="Arial"/>
                <w:sz w:val="13"/>
                <w:szCs w:val="13"/>
                <w:color w:val="0000EE"/>
                <w:w w:val="86"/>
              </w:rPr>
            </w:pPr>
            <w:hyperlink r:id="rId85">
              <w:r>
                <w:rPr>
                  <w:rFonts w:ascii="Arial" w:cs="Arial" w:eastAsia="Arial" w:hAnsi="Arial"/>
                  <w:sz w:val="13"/>
                  <w:szCs w:val="13"/>
                  <w:color w:val="0000EE"/>
                  <w:w w:val="86"/>
                </w:rPr>
                <w:t>January 19, 2007 (File No. 333-138747)).</w:t>
              </w:r>
            </w:hyperlink>
          </w:p>
        </w:tc>
        <w:tc>
          <w:tcPr>
            <w:tcW w:w="6880" w:type="dxa"/>
            <w:vAlign w:val="bottom"/>
            <w:tcBorders>
              <w:top w:val="single" w:sz="8" w:color="0000EE"/>
            </w:tcBorders>
            <w:gridSpan w:val="11"/>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4"/>
        </w:trPr>
        <w:tc>
          <w:tcPr>
            <w:tcW w:w="900" w:type="dxa"/>
            <w:vAlign w:val="bottom"/>
          </w:tcPr>
          <w:p>
            <w:pPr>
              <w:jc w:val="center"/>
              <w:spacing w:after="0"/>
              <w:rPr>
                <w:sz w:val="20"/>
                <w:szCs w:val="20"/>
                <w:color w:val="auto"/>
              </w:rPr>
            </w:pPr>
            <w:r>
              <w:rPr>
                <w:rFonts w:ascii="Arial" w:cs="Arial" w:eastAsia="Arial" w:hAnsi="Arial"/>
                <w:sz w:val="13"/>
                <w:szCs w:val="13"/>
                <w:color w:val="auto"/>
                <w:w w:val="88"/>
              </w:rPr>
              <w:t>3.3</w:t>
            </w:r>
          </w:p>
        </w:tc>
        <w:tc>
          <w:tcPr>
            <w:tcW w:w="80" w:type="dxa"/>
            <w:vAlign w:val="bottom"/>
          </w:tcPr>
          <w:p>
            <w:pPr>
              <w:spacing w:after="0"/>
              <w:rPr>
                <w:sz w:val="20"/>
                <w:szCs w:val="20"/>
                <w:color w:val="auto"/>
              </w:rPr>
            </w:pPr>
          </w:p>
        </w:tc>
        <w:tc>
          <w:tcPr>
            <w:tcW w:w="10500" w:type="dxa"/>
            <w:vAlign w:val="bottom"/>
            <w:gridSpan w:val="16"/>
          </w:tcPr>
          <w:p>
            <w:pPr>
              <w:spacing w:after="0"/>
              <w:rPr>
                <w:rFonts w:ascii="Arial" w:cs="Arial" w:eastAsia="Arial" w:hAnsi="Arial"/>
                <w:sz w:val="13"/>
                <w:szCs w:val="13"/>
                <w:color w:val="0000EE"/>
              </w:rPr>
            </w:pPr>
            <w:hyperlink r:id="rId86">
              <w:r>
                <w:rPr>
                  <w:rFonts w:ascii="Arial" w:cs="Arial" w:eastAsia="Arial" w:hAnsi="Arial"/>
                  <w:sz w:val="13"/>
                  <w:szCs w:val="13"/>
                  <w:color w:val="0000EE"/>
                </w:rPr>
                <w:t>Third Amended and Restated Agreement of Limited Partnership of Targa Resources Partners LP, effective December 1, 2016 (incorporated by reference to Exhibit 3.1 to Targa</w:t>
              </w:r>
            </w:hyperlink>
          </w:p>
        </w:tc>
        <w:tc>
          <w:tcPr>
            <w:tcW w:w="20" w:type="dxa"/>
            <w:vAlign w:val="bottom"/>
          </w:tcPr>
          <w:p>
            <w:pPr>
              <w:spacing w:after="0"/>
              <w:rPr>
                <w:sz w:val="20"/>
                <w:szCs w:val="20"/>
                <w:color w:val="auto"/>
              </w:rPr>
            </w:pPr>
          </w:p>
        </w:tc>
      </w:tr>
      <w:tr>
        <w:trPr>
          <w:trHeight w:val="131"/>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20" w:type="dxa"/>
            <w:vAlign w:val="bottom"/>
            <w:tcBorders>
              <w:top w:val="single" w:sz="8" w:color="0000EE"/>
              <w:bottom w:val="single" w:sz="8" w:color="0000EE"/>
            </w:tcBorders>
            <w:gridSpan w:val="12"/>
          </w:tcPr>
          <w:p>
            <w:pPr>
              <w:spacing w:after="0" w:line="131" w:lineRule="exact"/>
              <w:rPr>
                <w:rFonts w:ascii="Arial" w:cs="Arial" w:eastAsia="Arial" w:hAnsi="Arial"/>
                <w:sz w:val="13"/>
                <w:szCs w:val="13"/>
                <w:color w:val="0000EE"/>
                <w:w w:val="87"/>
              </w:rPr>
            </w:pPr>
            <w:hyperlink r:id="rId86">
              <w:r>
                <w:rPr>
                  <w:rFonts w:ascii="Arial" w:cs="Arial" w:eastAsia="Arial" w:hAnsi="Arial"/>
                  <w:sz w:val="13"/>
                  <w:szCs w:val="13"/>
                  <w:color w:val="0000EE"/>
                  <w:w w:val="87"/>
                </w:rPr>
                <w:t>Resources Partners LP’s Current Report on Form 8-K filed October 21, 2016 (File No. 001-33303)).</w:t>
              </w:r>
            </w:hyperlink>
          </w:p>
        </w:tc>
        <w:tc>
          <w:tcPr>
            <w:tcW w:w="3940" w:type="dxa"/>
            <w:vAlign w:val="bottom"/>
            <w:tcBorders>
              <w:top w:val="single" w:sz="8" w:color="0000EE"/>
            </w:tcBorders>
            <w:gridSpan w:val="3"/>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4"/>
        </w:trPr>
        <w:tc>
          <w:tcPr>
            <w:tcW w:w="900" w:type="dxa"/>
            <w:vAlign w:val="bottom"/>
          </w:tcPr>
          <w:p>
            <w:pPr>
              <w:jc w:val="center"/>
              <w:spacing w:after="0"/>
              <w:rPr>
                <w:sz w:val="20"/>
                <w:szCs w:val="20"/>
                <w:color w:val="auto"/>
              </w:rPr>
            </w:pPr>
            <w:r>
              <w:rPr>
                <w:rFonts w:ascii="Arial" w:cs="Arial" w:eastAsia="Arial" w:hAnsi="Arial"/>
                <w:sz w:val="13"/>
                <w:szCs w:val="13"/>
                <w:color w:val="auto"/>
                <w:w w:val="88"/>
              </w:rPr>
              <w:t>3.4</w:t>
            </w:r>
          </w:p>
        </w:tc>
        <w:tc>
          <w:tcPr>
            <w:tcW w:w="80" w:type="dxa"/>
            <w:vAlign w:val="bottom"/>
          </w:tcPr>
          <w:p>
            <w:pPr>
              <w:spacing w:after="0"/>
              <w:rPr>
                <w:sz w:val="20"/>
                <w:szCs w:val="20"/>
                <w:color w:val="auto"/>
              </w:rPr>
            </w:pPr>
          </w:p>
        </w:tc>
        <w:tc>
          <w:tcPr>
            <w:tcW w:w="10500" w:type="dxa"/>
            <w:vAlign w:val="bottom"/>
            <w:gridSpan w:val="16"/>
          </w:tcPr>
          <w:p>
            <w:pPr>
              <w:spacing w:after="0"/>
              <w:rPr>
                <w:rFonts w:ascii="Arial" w:cs="Arial" w:eastAsia="Arial" w:hAnsi="Arial"/>
                <w:sz w:val="13"/>
                <w:szCs w:val="13"/>
                <w:color w:val="0000EE"/>
              </w:rPr>
            </w:pPr>
            <w:hyperlink r:id="rId87">
              <w:r>
                <w:rPr>
                  <w:rFonts w:ascii="Arial" w:cs="Arial" w:eastAsia="Arial" w:hAnsi="Arial"/>
                  <w:sz w:val="13"/>
                  <w:szCs w:val="13"/>
                  <w:color w:val="0000EE"/>
                </w:rPr>
                <w:t>Amendment No. 1 to the Third Amended and Restated Agreement of Limited Partnership of Targa Resources Partners LP (incorporated by reference to Exhibit 3.1 to Targa</w:t>
              </w:r>
            </w:hyperlink>
          </w:p>
        </w:tc>
        <w:tc>
          <w:tcPr>
            <w:tcW w:w="20" w:type="dxa"/>
            <w:vAlign w:val="bottom"/>
          </w:tcPr>
          <w:p>
            <w:pPr>
              <w:spacing w:after="0"/>
              <w:rPr>
                <w:sz w:val="20"/>
                <w:szCs w:val="20"/>
                <w:color w:val="auto"/>
              </w:rPr>
            </w:pPr>
          </w:p>
        </w:tc>
      </w:tr>
      <w:tr>
        <w:trPr>
          <w:trHeight w:val="131"/>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20" w:type="dxa"/>
            <w:vAlign w:val="bottom"/>
            <w:tcBorders>
              <w:top w:val="single" w:sz="8" w:color="0000EE"/>
              <w:bottom w:val="single" w:sz="8" w:color="0000EE"/>
            </w:tcBorders>
            <w:gridSpan w:val="13"/>
          </w:tcPr>
          <w:p>
            <w:pPr>
              <w:spacing w:after="0" w:line="131" w:lineRule="exact"/>
              <w:rPr>
                <w:rFonts w:ascii="Arial" w:cs="Arial" w:eastAsia="Arial" w:hAnsi="Arial"/>
                <w:sz w:val="13"/>
                <w:szCs w:val="13"/>
                <w:color w:val="0000EE"/>
                <w:w w:val="87"/>
              </w:rPr>
            </w:pPr>
            <w:hyperlink r:id="rId87">
              <w:r>
                <w:rPr>
                  <w:rFonts w:ascii="Arial" w:cs="Arial" w:eastAsia="Arial" w:hAnsi="Arial"/>
                  <w:sz w:val="13"/>
                  <w:szCs w:val="13"/>
                  <w:color w:val="0000EE"/>
                  <w:w w:val="87"/>
                </w:rPr>
                <w:t>Resources Partners LP’s Current Report on Form 8-K (File No. 001-33303) filed December 12, 2017).</w:t>
              </w:r>
            </w:hyperlink>
          </w:p>
        </w:tc>
        <w:tc>
          <w:tcPr>
            <w:tcW w:w="3840" w:type="dxa"/>
            <w:vAlign w:val="bottom"/>
            <w:tcBorders>
              <w:top w:val="single" w:sz="8" w:color="0000EE"/>
            </w:tcBorders>
            <w:gridSpan w:val="2"/>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4"/>
        </w:trPr>
        <w:tc>
          <w:tcPr>
            <w:tcW w:w="900" w:type="dxa"/>
            <w:vAlign w:val="bottom"/>
          </w:tcPr>
          <w:p>
            <w:pPr>
              <w:jc w:val="center"/>
              <w:spacing w:after="0"/>
              <w:rPr>
                <w:sz w:val="20"/>
                <w:szCs w:val="20"/>
                <w:color w:val="auto"/>
              </w:rPr>
            </w:pPr>
            <w:r>
              <w:rPr>
                <w:rFonts w:ascii="Arial" w:cs="Arial" w:eastAsia="Arial" w:hAnsi="Arial"/>
                <w:sz w:val="13"/>
                <w:szCs w:val="13"/>
                <w:color w:val="auto"/>
                <w:w w:val="88"/>
              </w:rPr>
              <w:t>3.5</w:t>
            </w:r>
          </w:p>
        </w:tc>
        <w:tc>
          <w:tcPr>
            <w:tcW w:w="80" w:type="dxa"/>
            <w:vAlign w:val="bottom"/>
          </w:tcPr>
          <w:p>
            <w:pPr>
              <w:spacing w:after="0"/>
              <w:rPr>
                <w:sz w:val="20"/>
                <w:szCs w:val="20"/>
                <w:color w:val="auto"/>
              </w:rPr>
            </w:pPr>
          </w:p>
        </w:tc>
        <w:tc>
          <w:tcPr>
            <w:tcW w:w="10500" w:type="dxa"/>
            <w:vAlign w:val="bottom"/>
            <w:gridSpan w:val="16"/>
          </w:tcPr>
          <w:p>
            <w:pPr>
              <w:spacing w:after="0"/>
              <w:rPr>
                <w:rFonts w:ascii="Arial" w:cs="Arial" w:eastAsia="Arial" w:hAnsi="Arial"/>
                <w:sz w:val="13"/>
                <w:szCs w:val="13"/>
                <w:color w:val="0000EE"/>
              </w:rPr>
            </w:pPr>
            <w:hyperlink r:id="rId88">
              <w:r>
                <w:rPr>
                  <w:rFonts w:ascii="Arial" w:cs="Arial" w:eastAsia="Arial" w:hAnsi="Arial"/>
                  <w:sz w:val="13"/>
                  <w:szCs w:val="13"/>
                  <w:color w:val="0000EE"/>
                </w:rPr>
                <w:t>Limited Liability Company Agreement of Targa Resources GP LLC (incorporated by reference to Exhibit 3.4 to Targa Resources Partners LP’s Registration Statement on Form S-</w:t>
              </w:r>
            </w:hyperlink>
          </w:p>
        </w:tc>
        <w:tc>
          <w:tcPr>
            <w:tcW w:w="20" w:type="dxa"/>
            <w:vAlign w:val="bottom"/>
          </w:tcPr>
          <w:p>
            <w:pPr>
              <w:spacing w:after="0"/>
              <w:rPr>
                <w:sz w:val="20"/>
                <w:szCs w:val="20"/>
                <w:color w:val="auto"/>
              </w:rPr>
            </w:pPr>
          </w:p>
        </w:tc>
      </w:tr>
      <w:tr>
        <w:trPr>
          <w:trHeight w:val="131"/>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tcBorders>
              <w:top w:val="single" w:sz="8" w:color="0000EE"/>
              <w:bottom w:val="single" w:sz="8" w:color="0000EE"/>
            </w:tcBorders>
            <w:gridSpan w:val="6"/>
          </w:tcPr>
          <w:p>
            <w:pPr>
              <w:spacing w:after="0" w:line="131" w:lineRule="exact"/>
              <w:rPr>
                <w:rFonts w:ascii="Arial" w:cs="Arial" w:eastAsia="Arial" w:hAnsi="Arial"/>
                <w:sz w:val="13"/>
                <w:szCs w:val="13"/>
                <w:color w:val="0000EE"/>
                <w:w w:val="87"/>
              </w:rPr>
            </w:pPr>
            <w:hyperlink r:id="rId88">
              <w:r>
                <w:rPr>
                  <w:rFonts w:ascii="Arial" w:cs="Arial" w:eastAsia="Arial" w:hAnsi="Arial"/>
                  <w:sz w:val="13"/>
                  <w:szCs w:val="13"/>
                  <w:color w:val="0000EE"/>
                  <w:w w:val="87"/>
                </w:rPr>
                <w:t>1/A filed January 19, 2007 (File No. 333-138747)).</w:t>
              </w:r>
            </w:hyperlink>
          </w:p>
        </w:tc>
        <w:tc>
          <w:tcPr>
            <w:tcW w:w="6400" w:type="dxa"/>
            <w:vAlign w:val="bottom"/>
            <w:tcBorders>
              <w:top w:val="single" w:sz="8" w:color="0000EE"/>
            </w:tcBorders>
            <w:gridSpan w:val="9"/>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4"/>
        </w:trPr>
        <w:tc>
          <w:tcPr>
            <w:tcW w:w="900" w:type="dxa"/>
            <w:vAlign w:val="bottom"/>
          </w:tcPr>
          <w:p>
            <w:pPr>
              <w:jc w:val="center"/>
              <w:spacing w:after="0"/>
              <w:rPr>
                <w:sz w:val="20"/>
                <w:szCs w:val="20"/>
                <w:color w:val="auto"/>
              </w:rPr>
            </w:pPr>
            <w:r>
              <w:rPr>
                <w:rFonts w:ascii="Arial" w:cs="Arial" w:eastAsia="Arial" w:hAnsi="Arial"/>
                <w:sz w:val="13"/>
                <w:szCs w:val="13"/>
                <w:color w:val="auto"/>
                <w:w w:val="88"/>
              </w:rPr>
              <w:t>4.1</w:t>
            </w:r>
          </w:p>
        </w:tc>
        <w:tc>
          <w:tcPr>
            <w:tcW w:w="80" w:type="dxa"/>
            <w:vAlign w:val="bottom"/>
          </w:tcPr>
          <w:p>
            <w:pPr>
              <w:spacing w:after="0"/>
              <w:rPr>
                <w:sz w:val="20"/>
                <w:szCs w:val="20"/>
                <w:color w:val="auto"/>
              </w:rPr>
            </w:pPr>
          </w:p>
        </w:tc>
        <w:tc>
          <w:tcPr>
            <w:tcW w:w="10500" w:type="dxa"/>
            <w:vAlign w:val="bottom"/>
            <w:gridSpan w:val="16"/>
          </w:tcPr>
          <w:p>
            <w:pPr>
              <w:spacing w:after="0"/>
              <w:rPr>
                <w:rFonts w:ascii="Arial" w:cs="Arial" w:eastAsia="Arial" w:hAnsi="Arial"/>
                <w:sz w:val="13"/>
                <w:szCs w:val="13"/>
                <w:color w:val="0000EE"/>
              </w:rPr>
            </w:pPr>
            <w:hyperlink r:id="rId89">
              <w:r>
                <w:rPr>
                  <w:rFonts w:ascii="Arial" w:cs="Arial" w:eastAsia="Arial" w:hAnsi="Arial"/>
                  <w:sz w:val="13"/>
                  <w:szCs w:val="13"/>
                  <w:color w:val="0000EE"/>
                </w:rPr>
                <w:t>Specimen Unit Certificate for the Series A Preferred Units (attached as Exhibit B to the Second Amended and Restated Agreement of Limited Partnership of Targa Resources</w:t>
              </w:r>
            </w:hyperlink>
          </w:p>
        </w:tc>
        <w:tc>
          <w:tcPr>
            <w:tcW w:w="20" w:type="dxa"/>
            <w:vAlign w:val="bottom"/>
          </w:tcPr>
          <w:p>
            <w:pPr>
              <w:spacing w:after="0"/>
              <w:rPr>
                <w:sz w:val="20"/>
                <w:szCs w:val="20"/>
                <w:color w:val="auto"/>
              </w:rPr>
            </w:pPr>
          </w:p>
        </w:tc>
      </w:tr>
      <w:tr>
        <w:trPr>
          <w:trHeight w:val="131"/>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320" w:type="dxa"/>
            <w:vAlign w:val="bottom"/>
            <w:tcBorders>
              <w:top w:val="single" w:sz="8" w:color="0000EE"/>
              <w:bottom w:val="single" w:sz="8" w:color="0000EE"/>
            </w:tcBorders>
            <w:gridSpan w:val="14"/>
          </w:tcPr>
          <w:p>
            <w:pPr>
              <w:spacing w:after="0" w:line="131" w:lineRule="exact"/>
              <w:rPr>
                <w:rFonts w:ascii="Arial" w:cs="Arial" w:eastAsia="Arial" w:hAnsi="Arial"/>
                <w:sz w:val="13"/>
                <w:szCs w:val="13"/>
                <w:color w:val="0000EE"/>
                <w:w w:val="87"/>
              </w:rPr>
            </w:pPr>
            <w:hyperlink r:id="rId89">
              <w:r>
                <w:rPr>
                  <w:rFonts w:ascii="Arial" w:cs="Arial" w:eastAsia="Arial" w:hAnsi="Arial"/>
                  <w:sz w:val="13"/>
                  <w:szCs w:val="13"/>
                  <w:color w:val="0000EE"/>
                  <w:w w:val="87"/>
                </w:rPr>
                <w:t>Partners LP and incorporated by reference to Exhibit 3.1 to Targa Resources Partners LP’s Current Report on Form 8-K filed October 15, 2015 (File No. 001-33303)).</w:t>
              </w:r>
            </w:hyperlink>
          </w:p>
        </w:tc>
        <w:tc>
          <w:tcPr>
            <w:tcW w:w="640" w:type="dxa"/>
            <w:vAlign w:val="bottom"/>
            <w:tcBorders>
              <w:top w:val="single" w:sz="8" w:color="0000EE"/>
            </w:tcBorders>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94"/>
        </w:trPr>
        <w:tc>
          <w:tcPr>
            <w:tcW w:w="900" w:type="dxa"/>
            <w:vAlign w:val="bottom"/>
          </w:tcPr>
          <w:p>
            <w:pPr>
              <w:jc w:val="center"/>
              <w:spacing w:after="0"/>
              <w:rPr>
                <w:sz w:val="20"/>
                <w:szCs w:val="20"/>
                <w:color w:val="auto"/>
              </w:rPr>
            </w:pPr>
            <w:r>
              <w:rPr>
                <w:rFonts w:ascii="Arial" w:cs="Arial" w:eastAsia="Arial" w:hAnsi="Arial"/>
                <w:sz w:val="13"/>
                <w:szCs w:val="13"/>
                <w:color w:val="auto"/>
                <w:w w:val="88"/>
              </w:rPr>
              <w:t>4.2</w:t>
            </w:r>
          </w:p>
        </w:tc>
        <w:tc>
          <w:tcPr>
            <w:tcW w:w="80" w:type="dxa"/>
            <w:vAlign w:val="bottom"/>
          </w:tcPr>
          <w:p>
            <w:pPr>
              <w:spacing w:after="0"/>
              <w:rPr>
                <w:sz w:val="24"/>
                <w:szCs w:val="24"/>
                <w:color w:val="auto"/>
              </w:rPr>
            </w:pPr>
          </w:p>
        </w:tc>
        <w:tc>
          <w:tcPr>
            <w:tcW w:w="8960" w:type="dxa"/>
            <w:vAlign w:val="bottom"/>
            <w:tcBorders>
              <w:bottom w:val="single" w:sz="8" w:color="0000EE"/>
            </w:tcBorders>
            <w:gridSpan w:val="15"/>
          </w:tcPr>
          <w:p>
            <w:pPr>
              <w:spacing w:after="0"/>
              <w:rPr>
                <w:rFonts w:ascii="Arial" w:cs="Arial" w:eastAsia="Arial" w:hAnsi="Arial"/>
                <w:sz w:val="13"/>
                <w:szCs w:val="13"/>
                <w:color w:val="0000EE"/>
                <w:w w:val="90"/>
              </w:rPr>
            </w:pPr>
            <w:hyperlink r:id="rId90">
              <w:r>
                <w:rPr>
                  <w:rFonts w:ascii="Arial" w:cs="Arial" w:eastAsia="Arial" w:hAnsi="Arial"/>
                  <w:sz w:val="13"/>
                  <w:szCs w:val="13"/>
                  <w:color w:val="0000EE"/>
                  <w:w w:val="90"/>
                </w:rPr>
                <w:t>Indenture dated as of January 17, 2019 among the Issuers, the Guarantors and U.S. Bank National Association, as trustee (incorporated by reference to Exhibit 4.1 to Targa</w:t>
              </w:r>
            </w:hyperlink>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1"/>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0" w:type="dxa"/>
            <w:vAlign w:val="bottom"/>
            <w:tcBorders>
              <w:bottom w:val="single" w:sz="8" w:color="0000EE"/>
            </w:tcBorders>
            <w:gridSpan w:val="11"/>
          </w:tcPr>
          <w:p>
            <w:pPr>
              <w:spacing w:after="0" w:line="131" w:lineRule="exact"/>
              <w:rPr>
                <w:rFonts w:ascii="Arial" w:cs="Arial" w:eastAsia="Arial" w:hAnsi="Arial"/>
                <w:sz w:val="13"/>
                <w:szCs w:val="13"/>
                <w:color w:val="0000EE"/>
                <w:w w:val="87"/>
              </w:rPr>
            </w:pPr>
            <w:hyperlink r:id="rId90">
              <w:r>
                <w:rPr>
                  <w:rFonts w:ascii="Arial" w:cs="Arial" w:eastAsia="Arial" w:hAnsi="Arial"/>
                  <w:sz w:val="13"/>
                  <w:szCs w:val="13"/>
                  <w:color w:val="0000EE"/>
                  <w:w w:val="87"/>
                </w:rPr>
                <w:t>Resources Partners LP’s Current Report on Form 8-K filed January 23, 2019 (File No. 001-33303)).</w:t>
              </w:r>
            </w:hyperlink>
          </w:p>
        </w:tc>
        <w:tc>
          <w:tcPr>
            <w:tcW w:w="55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300"/>
        </w:trPr>
        <w:tc>
          <w:tcPr>
            <w:tcW w:w="900" w:type="dxa"/>
            <w:vAlign w:val="bottom"/>
          </w:tcPr>
          <w:p>
            <w:pPr>
              <w:jc w:val="center"/>
              <w:spacing w:after="0"/>
              <w:rPr>
                <w:sz w:val="20"/>
                <w:szCs w:val="20"/>
                <w:color w:val="auto"/>
              </w:rPr>
            </w:pPr>
            <w:r>
              <w:rPr>
                <w:rFonts w:ascii="Arial" w:cs="Arial" w:eastAsia="Arial" w:hAnsi="Arial"/>
                <w:sz w:val="13"/>
                <w:szCs w:val="13"/>
                <w:color w:val="auto"/>
                <w:w w:val="88"/>
              </w:rPr>
              <w:t>4.3</w:t>
            </w:r>
          </w:p>
        </w:tc>
        <w:tc>
          <w:tcPr>
            <w:tcW w:w="80" w:type="dxa"/>
            <w:vAlign w:val="bottom"/>
          </w:tcPr>
          <w:p>
            <w:pPr>
              <w:spacing w:after="0"/>
              <w:rPr>
                <w:sz w:val="24"/>
                <w:szCs w:val="24"/>
                <w:color w:val="auto"/>
              </w:rPr>
            </w:pPr>
          </w:p>
        </w:tc>
        <w:tc>
          <w:tcPr>
            <w:tcW w:w="10500" w:type="dxa"/>
            <w:vAlign w:val="bottom"/>
            <w:gridSpan w:val="16"/>
          </w:tcPr>
          <w:p>
            <w:pPr>
              <w:spacing w:after="0"/>
              <w:rPr>
                <w:rFonts w:ascii="Arial" w:cs="Arial" w:eastAsia="Arial" w:hAnsi="Arial"/>
                <w:sz w:val="13"/>
                <w:szCs w:val="13"/>
                <w:color w:val="0000EE"/>
              </w:rPr>
            </w:pPr>
            <w:hyperlink r:id="rId91">
              <w:r>
                <w:rPr>
                  <w:rFonts w:ascii="Arial" w:cs="Arial" w:eastAsia="Arial" w:hAnsi="Arial"/>
                  <w:sz w:val="13"/>
                  <w:szCs w:val="13"/>
                  <w:color w:val="0000EE"/>
                </w:rPr>
                <w:t>Registration Rights Agreement dated as of January 17, 2019 among the Issuers, the Guarantors and Merrill Lynch, Pierce, Fenner &amp; Smith Incorporated, as representative of the</w:t>
              </w:r>
            </w:hyperlink>
          </w:p>
        </w:tc>
        <w:tc>
          <w:tcPr>
            <w:tcW w:w="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40" w:type="dxa"/>
            <w:vAlign w:val="bottom"/>
            <w:gridSpan w:val="5"/>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00" w:type="dxa"/>
            <w:vAlign w:val="bottom"/>
            <w:gridSpan w:val="16"/>
          </w:tcPr>
          <w:p>
            <w:pPr>
              <w:spacing w:after="0" w:line="131" w:lineRule="exact"/>
              <w:rPr>
                <w:rFonts w:ascii="Arial" w:cs="Arial" w:eastAsia="Arial" w:hAnsi="Arial"/>
                <w:sz w:val="13"/>
                <w:szCs w:val="13"/>
                <w:color w:val="0000EE"/>
              </w:rPr>
            </w:pPr>
            <w:hyperlink r:id="rId91">
              <w:r>
                <w:rPr>
                  <w:rFonts w:ascii="Arial" w:cs="Arial" w:eastAsia="Arial" w:hAnsi="Arial"/>
                  <w:sz w:val="13"/>
                  <w:szCs w:val="13"/>
                  <w:color w:val="0000EE"/>
                </w:rPr>
                <w:t>several Initial Purchasers party thereto (incorporated by reference to Exhibit 4.2 to Targa Resources Partners LP’s Current Report on Form 8-K filed January 23, 2019 (File No.</w:t>
              </w:r>
            </w:hyperlink>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900" w:type="dxa"/>
            <w:vAlign w:val="bottom"/>
          </w:tcPr>
          <w:p>
            <w:pPr>
              <w:spacing w:after="0"/>
              <w:rPr>
                <w:sz w:val="11"/>
                <w:szCs w:val="11"/>
                <w:color w:val="auto"/>
              </w:rPr>
            </w:pPr>
          </w:p>
        </w:tc>
        <w:tc>
          <w:tcPr>
            <w:tcW w:w="720" w:type="dxa"/>
            <w:vAlign w:val="bottom"/>
            <w:gridSpan w:val="2"/>
          </w:tcPr>
          <w:p>
            <w:pPr>
              <w:ind w:left="60"/>
              <w:spacing w:after="0" w:line="131" w:lineRule="exact"/>
              <w:rPr>
                <w:rFonts w:ascii="Arial" w:cs="Arial" w:eastAsia="Arial" w:hAnsi="Arial"/>
                <w:sz w:val="13"/>
                <w:szCs w:val="13"/>
                <w:color w:val="0000EE"/>
                <w:w w:val="85"/>
              </w:rPr>
            </w:pPr>
            <w:hyperlink r:id="rId91">
              <w:r>
                <w:rPr>
                  <w:rFonts w:ascii="Arial" w:cs="Arial" w:eastAsia="Arial" w:hAnsi="Arial"/>
                  <w:sz w:val="13"/>
                  <w:szCs w:val="13"/>
                  <w:color w:val="0000EE"/>
                  <w:w w:val="85"/>
                </w:rPr>
                <w:t>001-33303)).</w:t>
              </w:r>
            </w:hyperlink>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900" w:type="dxa"/>
            <w:vAlign w:val="bottom"/>
          </w:tcPr>
          <w:p>
            <w:pPr>
              <w:jc w:val="center"/>
              <w:spacing w:after="0"/>
              <w:rPr>
                <w:sz w:val="20"/>
                <w:szCs w:val="20"/>
                <w:color w:val="auto"/>
              </w:rPr>
            </w:pPr>
            <w:r>
              <w:rPr>
                <w:rFonts w:ascii="Arial" w:cs="Arial" w:eastAsia="Arial" w:hAnsi="Arial"/>
                <w:sz w:val="13"/>
                <w:szCs w:val="13"/>
                <w:color w:val="auto"/>
                <w:w w:val="88"/>
              </w:rPr>
              <w:t>4.4</w:t>
            </w:r>
          </w:p>
        </w:tc>
        <w:tc>
          <w:tcPr>
            <w:tcW w:w="80" w:type="dxa"/>
            <w:vAlign w:val="bottom"/>
          </w:tcPr>
          <w:p>
            <w:pPr>
              <w:spacing w:after="0"/>
              <w:rPr>
                <w:sz w:val="24"/>
                <w:szCs w:val="24"/>
                <w:color w:val="auto"/>
              </w:rPr>
            </w:pPr>
          </w:p>
        </w:tc>
        <w:tc>
          <w:tcPr>
            <w:tcW w:w="10500" w:type="dxa"/>
            <w:vAlign w:val="bottom"/>
            <w:gridSpan w:val="16"/>
          </w:tcPr>
          <w:p>
            <w:pPr>
              <w:spacing w:after="0"/>
              <w:rPr>
                <w:rFonts w:ascii="Arial" w:cs="Arial" w:eastAsia="Arial" w:hAnsi="Arial"/>
                <w:sz w:val="13"/>
                <w:szCs w:val="13"/>
                <w:color w:val="0000EE"/>
              </w:rPr>
            </w:pPr>
            <w:hyperlink r:id="rId92">
              <w:r>
                <w:rPr>
                  <w:rFonts w:ascii="Arial" w:cs="Arial" w:eastAsia="Arial" w:hAnsi="Arial"/>
                  <w:sz w:val="13"/>
                  <w:szCs w:val="13"/>
                  <w:color w:val="0000EE"/>
                </w:rPr>
                <w:t>Registration Rights Agreement dated as of January 17, 2019 among the Issuers, the Guarantors and Merrill Lynch, Pierce, Fenner &amp; Smith Incorporated, as representative of the</w:t>
              </w:r>
            </w:hyperlink>
          </w:p>
        </w:tc>
        <w:tc>
          <w:tcPr>
            <w:tcW w:w="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40" w:type="dxa"/>
            <w:vAlign w:val="bottom"/>
            <w:gridSpan w:val="5"/>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00" w:type="dxa"/>
            <w:vAlign w:val="bottom"/>
            <w:gridSpan w:val="16"/>
          </w:tcPr>
          <w:p>
            <w:pPr>
              <w:spacing w:after="0" w:line="131" w:lineRule="exact"/>
              <w:rPr>
                <w:rFonts w:ascii="Arial" w:cs="Arial" w:eastAsia="Arial" w:hAnsi="Arial"/>
                <w:sz w:val="13"/>
                <w:szCs w:val="13"/>
                <w:color w:val="0000EE"/>
              </w:rPr>
            </w:pPr>
            <w:hyperlink r:id="rId92">
              <w:r>
                <w:rPr>
                  <w:rFonts w:ascii="Arial" w:cs="Arial" w:eastAsia="Arial" w:hAnsi="Arial"/>
                  <w:sz w:val="13"/>
                  <w:szCs w:val="13"/>
                  <w:color w:val="0000EE"/>
                </w:rPr>
                <w:t>several Initial Purchasers party thereto (incorporated by reference to Exhibit 4.3 to Targa Resources Partners LP’s Current Report on Form 8-K filed January 23, 2019 (File No.</w:t>
              </w:r>
            </w:hyperlink>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900" w:type="dxa"/>
            <w:vAlign w:val="bottom"/>
          </w:tcPr>
          <w:p>
            <w:pPr>
              <w:spacing w:after="0"/>
              <w:rPr>
                <w:sz w:val="11"/>
                <w:szCs w:val="11"/>
                <w:color w:val="auto"/>
              </w:rPr>
            </w:pPr>
          </w:p>
        </w:tc>
        <w:tc>
          <w:tcPr>
            <w:tcW w:w="720" w:type="dxa"/>
            <w:vAlign w:val="bottom"/>
            <w:gridSpan w:val="2"/>
          </w:tcPr>
          <w:p>
            <w:pPr>
              <w:ind w:left="60"/>
              <w:spacing w:after="0" w:line="131" w:lineRule="exact"/>
              <w:rPr>
                <w:rFonts w:ascii="Arial" w:cs="Arial" w:eastAsia="Arial" w:hAnsi="Arial"/>
                <w:sz w:val="13"/>
                <w:szCs w:val="13"/>
                <w:color w:val="0000EE"/>
                <w:w w:val="85"/>
              </w:rPr>
            </w:pPr>
            <w:hyperlink r:id="rId92">
              <w:r>
                <w:rPr>
                  <w:rFonts w:ascii="Arial" w:cs="Arial" w:eastAsia="Arial" w:hAnsi="Arial"/>
                  <w:sz w:val="13"/>
                  <w:szCs w:val="13"/>
                  <w:color w:val="0000EE"/>
                  <w:w w:val="85"/>
                </w:rPr>
                <w:t>001-33303)).</w:t>
              </w:r>
            </w:hyperlink>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90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80" w:type="dxa"/>
            <w:vAlign w:val="bottom"/>
          </w:tcPr>
          <w:p>
            <w:pPr>
              <w:spacing w:after="0"/>
              <w:rPr>
                <w:sz w:val="24"/>
                <w:szCs w:val="24"/>
                <w:color w:val="auto"/>
              </w:rPr>
            </w:pPr>
          </w:p>
        </w:tc>
        <w:tc>
          <w:tcPr>
            <w:tcW w:w="10500" w:type="dxa"/>
            <w:vAlign w:val="bottom"/>
            <w:gridSpan w:val="16"/>
          </w:tcPr>
          <w:p>
            <w:pPr>
              <w:spacing w:after="0"/>
              <w:rPr>
                <w:rFonts w:ascii="Arial" w:cs="Arial" w:eastAsia="Arial" w:hAnsi="Arial"/>
                <w:sz w:val="13"/>
                <w:szCs w:val="13"/>
                <w:color w:val="0000EE"/>
              </w:rPr>
            </w:pPr>
            <w:hyperlink r:id="rId93">
              <w:r>
                <w:rPr>
                  <w:rFonts w:ascii="Arial" w:cs="Arial" w:eastAsia="Arial" w:hAnsi="Arial"/>
                  <w:sz w:val="13"/>
                  <w:szCs w:val="13"/>
                  <w:color w:val="0000EE"/>
                </w:rPr>
                <w:t>Purchase Agreement dated as of January 10, 2019, among the Issuers, the Guarantors and Merrill Lynch, Pierce, Fenner &amp; Smith Incorporated, as representative of the several</w:t>
              </w:r>
            </w:hyperlink>
          </w:p>
        </w:tc>
        <w:tc>
          <w:tcPr>
            <w:tcW w:w="20" w:type="dxa"/>
            <w:vAlign w:val="bottom"/>
          </w:tcPr>
          <w:p>
            <w:pPr>
              <w:spacing w:after="0"/>
              <w:rPr>
                <w:sz w:val="24"/>
                <w:szCs w:val="24"/>
                <w:color w:val="auto"/>
              </w:rPr>
            </w:pPr>
          </w:p>
        </w:tc>
      </w:tr>
      <w:tr>
        <w:trPr>
          <w:trHeight w:val="131"/>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960" w:type="dxa"/>
            <w:vAlign w:val="bottom"/>
            <w:tcBorders>
              <w:top w:val="single" w:sz="8" w:color="0000EE"/>
            </w:tcBorders>
            <w:gridSpan w:val="15"/>
          </w:tcPr>
          <w:p>
            <w:pPr>
              <w:spacing w:after="0" w:line="131" w:lineRule="exact"/>
              <w:rPr>
                <w:rFonts w:ascii="Arial" w:cs="Arial" w:eastAsia="Arial" w:hAnsi="Arial"/>
                <w:sz w:val="13"/>
                <w:szCs w:val="13"/>
                <w:color w:val="0000EE"/>
              </w:rPr>
            </w:pPr>
            <w:hyperlink r:id="rId93">
              <w:r>
                <w:rPr>
                  <w:rFonts w:ascii="Arial" w:cs="Arial" w:eastAsia="Arial" w:hAnsi="Arial"/>
                  <w:sz w:val="13"/>
                  <w:szCs w:val="13"/>
                  <w:color w:val="0000EE"/>
                </w:rPr>
                <w:t>initial purchasers.</w:t>
              </w:r>
            </w:hyperlink>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900" w:type="dxa"/>
            <w:vAlign w:val="bottom"/>
          </w:tcPr>
          <w:p>
            <w:pPr>
              <w:jc w:val="center"/>
              <w:spacing w:after="0"/>
              <w:rPr>
                <w:sz w:val="20"/>
                <w:szCs w:val="20"/>
                <w:color w:val="auto"/>
              </w:rPr>
            </w:pPr>
            <w:r>
              <w:rPr>
                <w:rFonts w:ascii="Arial" w:cs="Arial" w:eastAsia="Arial" w:hAnsi="Arial"/>
                <w:sz w:val="13"/>
                <w:szCs w:val="13"/>
                <w:color w:val="auto"/>
                <w:w w:val="91"/>
              </w:rPr>
              <w:t>10.2+</w:t>
            </w:r>
          </w:p>
        </w:tc>
        <w:tc>
          <w:tcPr>
            <w:tcW w:w="80" w:type="dxa"/>
            <w:vAlign w:val="bottom"/>
          </w:tcPr>
          <w:p>
            <w:pPr>
              <w:spacing w:after="0"/>
              <w:rPr>
                <w:sz w:val="24"/>
                <w:szCs w:val="24"/>
                <w:color w:val="auto"/>
              </w:rPr>
            </w:pPr>
          </w:p>
        </w:tc>
        <w:tc>
          <w:tcPr>
            <w:tcW w:w="10500" w:type="dxa"/>
            <w:vAlign w:val="bottom"/>
            <w:gridSpan w:val="16"/>
          </w:tcPr>
          <w:p>
            <w:pPr>
              <w:spacing w:after="0"/>
              <w:rPr>
                <w:rFonts w:ascii="Arial" w:cs="Arial" w:eastAsia="Arial" w:hAnsi="Arial"/>
                <w:sz w:val="13"/>
                <w:szCs w:val="13"/>
                <w:color w:val="0000EE"/>
              </w:rPr>
            </w:pPr>
            <w:hyperlink r:id="rId94">
              <w:r>
                <w:rPr>
                  <w:rFonts w:ascii="Arial" w:cs="Arial" w:eastAsia="Arial" w:hAnsi="Arial"/>
                  <w:sz w:val="13"/>
                  <w:szCs w:val="13"/>
                  <w:color w:val="0000EE"/>
                </w:rPr>
                <w:t>Targa Resources Corp. 2019 Annual Incentive Compensation Plan (incorporated by reference to Exhibit 10.1 to Targa Resources Partners LP’s Current Report on Form 8-K filed</w:t>
              </w:r>
            </w:hyperlink>
          </w:p>
        </w:tc>
        <w:tc>
          <w:tcPr>
            <w:tcW w:w="20" w:type="dxa"/>
            <w:vAlign w:val="bottom"/>
          </w:tcPr>
          <w:p>
            <w:pPr>
              <w:spacing w:after="0"/>
              <w:rPr>
                <w:sz w:val="24"/>
                <w:szCs w:val="24"/>
                <w:color w:val="auto"/>
              </w:rPr>
            </w:pPr>
          </w:p>
        </w:tc>
      </w:tr>
      <w:tr>
        <w:trPr>
          <w:trHeight w:val="131"/>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960" w:type="dxa"/>
            <w:vAlign w:val="bottom"/>
            <w:tcBorders>
              <w:top w:val="single" w:sz="8" w:color="0000EE"/>
            </w:tcBorders>
            <w:gridSpan w:val="15"/>
          </w:tcPr>
          <w:p>
            <w:pPr>
              <w:spacing w:after="0" w:line="131" w:lineRule="exact"/>
              <w:rPr>
                <w:rFonts w:ascii="Arial" w:cs="Arial" w:eastAsia="Arial" w:hAnsi="Arial"/>
                <w:sz w:val="13"/>
                <w:szCs w:val="13"/>
                <w:color w:val="0000EE"/>
              </w:rPr>
            </w:pPr>
            <w:hyperlink r:id="rId94">
              <w:r>
                <w:rPr>
                  <w:rFonts w:ascii="Arial" w:cs="Arial" w:eastAsia="Arial" w:hAnsi="Arial"/>
                  <w:sz w:val="13"/>
                  <w:szCs w:val="13"/>
                  <w:color w:val="0000EE"/>
                </w:rPr>
                <w:t>January 22, 2019 (File No. 001-33303)).</w:t>
              </w:r>
            </w:hyperlink>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900" w:type="dxa"/>
            <w:vAlign w:val="bottom"/>
          </w:tcPr>
          <w:p>
            <w:pPr>
              <w:jc w:val="center"/>
              <w:spacing w:after="0"/>
              <w:rPr>
                <w:sz w:val="20"/>
                <w:szCs w:val="20"/>
                <w:color w:val="auto"/>
              </w:rPr>
            </w:pPr>
            <w:r>
              <w:rPr>
                <w:rFonts w:ascii="Arial" w:cs="Arial" w:eastAsia="Arial" w:hAnsi="Arial"/>
                <w:sz w:val="13"/>
                <w:szCs w:val="13"/>
                <w:color w:val="auto"/>
                <w:w w:val="91"/>
              </w:rPr>
              <w:t>10.3+</w:t>
            </w:r>
          </w:p>
        </w:tc>
        <w:tc>
          <w:tcPr>
            <w:tcW w:w="80" w:type="dxa"/>
            <w:vAlign w:val="bottom"/>
          </w:tcPr>
          <w:p>
            <w:pPr>
              <w:spacing w:after="0"/>
              <w:rPr>
                <w:sz w:val="24"/>
                <w:szCs w:val="24"/>
                <w:color w:val="auto"/>
              </w:rPr>
            </w:pPr>
          </w:p>
        </w:tc>
        <w:tc>
          <w:tcPr>
            <w:tcW w:w="10500" w:type="dxa"/>
            <w:vAlign w:val="bottom"/>
            <w:gridSpan w:val="16"/>
          </w:tcPr>
          <w:p>
            <w:pPr>
              <w:spacing w:after="0"/>
              <w:rPr>
                <w:rFonts w:ascii="Arial" w:cs="Arial" w:eastAsia="Arial" w:hAnsi="Arial"/>
                <w:sz w:val="13"/>
                <w:szCs w:val="13"/>
                <w:color w:val="0000EE"/>
              </w:rPr>
            </w:pPr>
            <w:hyperlink r:id="rId95">
              <w:r>
                <w:rPr>
                  <w:rFonts w:ascii="Arial" w:cs="Arial" w:eastAsia="Arial" w:hAnsi="Arial"/>
                  <w:sz w:val="13"/>
                  <w:szCs w:val="13"/>
                  <w:color w:val="0000EE"/>
                </w:rPr>
                <w:t>Indemnification Agreement by and between Targa Resources Corp. and Julie Boushka, dated February 22, 2017 (incorporated by reference to Exhibit 10.1 to Targa Resources</w:t>
              </w:r>
            </w:hyperlink>
          </w:p>
        </w:tc>
        <w:tc>
          <w:tcPr>
            <w:tcW w:w="20" w:type="dxa"/>
            <w:vAlign w:val="bottom"/>
          </w:tcPr>
          <w:p>
            <w:pPr>
              <w:spacing w:after="0"/>
              <w:rPr>
                <w:sz w:val="24"/>
                <w:szCs w:val="24"/>
                <w:color w:val="auto"/>
              </w:rPr>
            </w:pPr>
          </w:p>
        </w:tc>
      </w:tr>
      <w:tr>
        <w:trPr>
          <w:trHeight w:val="131"/>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960" w:type="dxa"/>
            <w:vAlign w:val="bottom"/>
            <w:tcBorders>
              <w:top w:val="single" w:sz="8" w:color="0000EE"/>
            </w:tcBorders>
            <w:gridSpan w:val="15"/>
          </w:tcPr>
          <w:p>
            <w:pPr>
              <w:spacing w:after="0" w:line="131" w:lineRule="exact"/>
              <w:rPr>
                <w:rFonts w:ascii="Arial" w:cs="Arial" w:eastAsia="Arial" w:hAnsi="Arial"/>
                <w:sz w:val="13"/>
                <w:szCs w:val="13"/>
                <w:color w:val="0000EE"/>
              </w:rPr>
            </w:pPr>
            <w:hyperlink r:id="rId95">
              <w:r>
                <w:rPr>
                  <w:rFonts w:ascii="Arial" w:cs="Arial" w:eastAsia="Arial" w:hAnsi="Arial"/>
                  <w:sz w:val="13"/>
                  <w:szCs w:val="13"/>
                  <w:color w:val="0000EE"/>
                </w:rPr>
                <w:t>Partners LP’s Current Report on Form 8-K filed March 5, 2019 (File No. 001-33303)).</w:t>
              </w:r>
            </w:hyperlink>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94"/>
        </w:trPr>
        <w:tc>
          <w:tcPr>
            <w:tcW w:w="900" w:type="dxa"/>
            <w:vAlign w:val="bottom"/>
          </w:tcPr>
          <w:p>
            <w:pPr>
              <w:jc w:val="center"/>
              <w:spacing w:after="0"/>
              <w:rPr>
                <w:sz w:val="20"/>
                <w:szCs w:val="20"/>
                <w:color w:val="auto"/>
              </w:rPr>
            </w:pPr>
            <w:r>
              <w:rPr>
                <w:rFonts w:ascii="Arial" w:cs="Arial" w:eastAsia="Arial" w:hAnsi="Arial"/>
                <w:sz w:val="13"/>
                <w:szCs w:val="13"/>
                <w:color w:val="auto"/>
                <w:w w:val="92"/>
              </w:rPr>
              <w:t>31.1*</w:t>
            </w:r>
          </w:p>
        </w:tc>
        <w:tc>
          <w:tcPr>
            <w:tcW w:w="80" w:type="dxa"/>
            <w:vAlign w:val="bottom"/>
          </w:tcPr>
          <w:p>
            <w:pPr>
              <w:spacing w:after="0"/>
              <w:rPr>
                <w:sz w:val="24"/>
                <w:szCs w:val="24"/>
                <w:color w:val="auto"/>
              </w:rPr>
            </w:pPr>
          </w:p>
        </w:tc>
        <w:tc>
          <w:tcPr>
            <w:tcW w:w="3660" w:type="dxa"/>
            <w:vAlign w:val="bottom"/>
            <w:tcBorders>
              <w:top w:val="single" w:sz="8" w:color="0000EE"/>
              <w:bottom w:val="single" w:sz="8" w:color="0000EE"/>
            </w:tcBorders>
            <w:gridSpan w:val="8"/>
          </w:tcPr>
          <w:p>
            <w:pPr>
              <w:spacing w:after="0"/>
              <w:rPr>
                <w:rFonts w:ascii="Arial" w:cs="Arial" w:eastAsia="Arial" w:hAnsi="Arial"/>
                <w:sz w:val="13"/>
                <w:szCs w:val="13"/>
                <w:color w:val="0000EE"/>
                <w:w w:val="87"/>
              </w:rPr>
            </w:pPr>
            <w:hyperlink w:anchor="page51">
              <w:r>
                <w:rPr>
                  <w:rFonts w:ascii="Arial" w:cs="Arial" w:eastAsia="Arial" w:hAnsi="Arial"/>
                  <w:sz w:val="13"/>
                  <w:szCs w:val="13"/>
                  <w:color w:val="0000EE"/>
                  <w:w w:val="87"/>
                </w:rPr>
                <w:t>Certification Pursuant to Section 302 of the Sarbanes-Oxley Act of 2002.</w:t>
              </w:r>
            </w:hyperlink>
          </w:p>
        </w:tc>
        <w:tc>
          <w:tcPr>
            <w:tcW w:w="660" w:type="dxa"/>
            <w:vAlign w:val="bottom"/>
            <w:tcBorders>
              <w:top w:val="single" w:sz="8" w:color="0000EE"/>
            </w:tcBorders>
            <w:gridSpan w:val="2"/>
          </w:tcPr>
          <w:p>
            <w:pPr>
              <w:spacing w:after="0"/>
              <w:rPr>
                <w:sz w:val="24"/>
                <w:szCs w:val="24"/>
                <w:color w:val="auto"/>
              </w:rPr>
            </w:pPr>
          </w:p>
        </w:tc>
        <w:tc>
          <w:tcPr>
            <w:tcW w:w="61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00" w:type="dxa"/>
            <w:vAlign w:val="bottom"/>
          </w:tcPr>
          <w:p>
            <w:pPr>
              <w:jc w:val="center"/>
              <w:spacing w:after="0"/>
              <w:rPr>
                <w:sz w:val="20"/>
                <w:szCs w:val="20"/>
                <w:color w:val="auto"/>
              </w:rPr>
            </w:pPr>
            <w:r>
              <w:rPr>
                <w:rFonts w:ascii="Arial" w:cs="Arial" w:eastAsia="Arial" w:hAnsi="Arial"/>
                <w:sz w:val="13"/>
                <w:szCs w:val="13"/>
                <w:color w:val="auto"/>
                <w:w w:val="92"/>
              </w:rPr>
              <w:t>31.2*</w:t>
            </w:r>
          </w:p>
        </w:tc>
        <w:tc>
          <w:tcPr>
            <w:tcW w:w="80" w:type="dxa"/>
            <w:vAlign w:val="bottom"/>
          </w:tcPr>
          <w:p>
            <w:pPr>
              <w:spacing w:after="0"/>
              <w:rPr>
                <w:sz w:val="20"/>
                <w:szCs w:val="20"/>
                <w:color w:val="auto"/>
              </w:rPr>
            </w:pPr>
          </w:p>
        </w:tc>
        <w:tc>
          <w:tcPr>
            <w:tcW w:w="10500" w:type="dxa"/>
            <w:vAlign w:val="bottom"/>
            <w:gridSpan w:val="16"/>
          </w:tcPr>
          <w:p>
            <w:pPr>
              <w:spacing w:after="0"/>
              <w:rPr>
                <w:rFonts w:ascii="Arial" w:cs="Arial" w:eastAsia="Arial" w:hAnsi="Arial"/>
                <w:sz w:val="13"/>
                <w:szCs w:val="13"/>
                <w:color w:val="0000EE"/>
              </w:rPr>
            </w:pPr>
            <w:hyperlink w:anchor="page52">
              <w:r>
                <w:rPr>
                  <w:rFonts w:ascii="Arial" w:cs="Arial" w:eastAsia="Arial" w:hAnsi="Arial"/>
                  <w:sz w:val="13"/>
                  <w:szCs w:val="13"/>
                  <w:color w:val="0000EE"/>
                </w:rPr>
                <w:t>Certification Pursuant to Section 302 of the Sarbanes-Oxley Act of 2002.</w:t>
              </w:r>
            </w:hyperlink>
          </w:p>
        </w:tc>
        <w:tc>
          <w:tcPr>
            <w:tcW w:w="20" w:type="dxa"/>
            <w:vAlign w:val="bottom"/>
          </w:tcPr>
          <w:p>
            <w:pPr>
              <w:spacing w:after="0"/>
              <w:rPr>
                <w:sz w:val="20"/>
                <w:szCs w:val="20"/>
                <w:color w:val="auto"/>
              </w:rPr>
            </w:pPr>
          </w:p>
        </w:tc>
      </w:tr>
      <w:tr>
        <w:trPr>
          <w:trHeight w:val="402"/>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40" w:type="dxa"/>
            <w:vAlign w:val="bottom"/>
            <w:tcBorders>
              <w:top w:val="single" w:sz="8" w:color="0000EE"/>
            </w:tcBorders>
            <w:gridSpan w:val="7"/>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3"/>
                <w:szCs w:val="13"/>
                <w:color w:val="auto"/>
              </w:rPr>
              <w:t>47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
        </w:trPr>
        <w:tc>
          <w:tcPr>
            <w:tcW w:w="9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7278370</wp:posOffset>
            </wp:positionH>
            <wp:positionV relativeFrom="paragraph">
              <wp:posOffset>-24130</wp:posOffset>
            </wp:positionV>
            <wp:extent cx="3111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-24130</wp:posOffset>
            </wp:positionV>
            <wp:extent cx="3111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500"/>
          </w:cols>
          <w:pgMar w:left="220" w:top="277" w:right="179" w:bottom="1440" w:gutter="0" w:footer="0" w:header="0"/>
        </w:sectPr>
      </w:pPr>
    </w:p>
    <w:bookmarkStart w:id="48" w:name="page49"/>
    <w:bookmarkEnd w:id="48"/>
    <w:tbl>
      <w:tblPr>
        <w:tblLayout w:type="fixed"/>
        <w:tblInd w:w="5" w:type="dxa"/>
        <w:tblCellMar>
          <w:top w:w="0" w:type="dxa"/>
          <w:left w:w="0" w:type="dxa"/>
          <w:bottom w:w="0" w:type="dxa"/>
          <w:right w:w="0" w:type="dxa"/>
        </w:tblCellMar>
      </w:tblPr>
      <w:tr>
        <w:trPr>
          <w:trHeight w:val="118"/>
        </w:trPr>
        <w:tc>
          <w:tcPr>
            <w:tcW w:w="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Number</w:t>
            </w:r>
          </w:p>
        </w:tc>
        <w:tc>
          <w:tcPr>
            <w:tcW w:w="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78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Description</w:t>
            </w:r>
          </w:p>
        </w:tc>
      </w:tr>
      <w:tr>
        <w:trPr>
          <w:trHeight w:val="215"/>
        </w:trPr>
        <w:tc>
          <w:tcPr>
            <w:tcW w:w="900" w:type="dxa"/>
            <w:vAlign w:val="bottom"/>
          </w:tcPr>
          <w:p>
            <w:pPr>
              <w:jc w:val="center"/>
              <w:spacing w:after="0"/>
              <w:rPr>
                <w:sz w:val="20"/>
                <w:szCs w:val="20"/>
                <w:color w:val="auto"/>
              </w:rPr>
            </w:pPr>
            <w:r>
              <w:rPr>
                <w:rFonts w:ascii="Arial" w:cs="Arial" w:eastAsia="Arial" w:hAnsi="Arial"/>
                <w:sz w:val="13"/>
                <w:szCs w:val="13"/>
                <w:color w:val="auto"/>
                <w:w w:val="95"/>
              </w:rPr>
              <w:t>32.1**</w:t>
            </w:r>
          </w:p>
        </w:tc>
        <w:tc>
          <w:tcPr>
            <w:tcW w:w="60" w:type="dxa"/>
            <w:vAlign w:val="bottom"/>
          </w:tcPr>
          <w:p>
            <w:pPr>
              <w:spacing w:after="0"/>
              <w:rPr>
                <w:sz w:val="18"/>
                <w:szCs w:val="18"/>
                <w:color w:val="auto"/>
              </w:rPr>
            </w:pPr>
          </w:p>
        </w:tc>
        <w:tc>
          <w:tcPr>
            <w:tcW w:w="7620" w:type="dxa"/>
            <w:vAlign w:val="bottom"/>
            <w:tcBorders>
              <w:bottom w:val="single" w:sz="8" w:color="0000EE"/>
            </w:tcBorders>
            <w:gridSpan w:val="3"/>
          </w:tcPr>
          <w:p>
            <w:pPr>
              <w:spacing w:after="0"/>
              <w:rPr>
                <w:rFonts w:ascii="Arial" w:cs="Arial" w:eastAsia="Arial" w:hAnsi="Arial"/>
                <w:sz w:val="13"/>
                <w:szCs w:val="13"/>
                <w:color w:val="0000EE"/>
                <w:w w:val="87"/>
              </w:rPr>
            </w:pPr>
            <w:hyperlink w:anchor="page53">
              <w:r>
                <w:rPr>
                  <w:rFonts w:ascii="Arial" w:cs="Arial" w:eastAsia="Arial" w:hAnsi="Arial"/>
                  <w:sz w:val="13"/>
                  <w:szCs w:val="13"/>
                  <w:color w:val="0000EE"/>
                  <w:w w:val="87"/>
                </w:rPr>
                <w:t>Certification of the Chief Executive Officer pursuant to 18 U.S.C. Section 1350, as adopted pursuant to Section 906 of the Sarbanes-Oxley Act of 2002.</w:t>
              </w:r>
            </w:hyperlink>
          </w:p>
        </w:tc>
        <w:tc>
          <w:tcPr>
            <w:tcW w:w="2900" w:type="dxa"/>
            <w:vAlign w:val="bottom"/>
          </w:tcPr>
          <w:p>
            <w:pPr>
              <w:spacing w:after="0"/>
              <w:rPr>
                <w:sz w:val="18"/>
                <w:szCs w:val="18"/>
                <w:color w:val="auto"/>
              </w:rPr>
            </w:pPr>
          </w:p>
        </w:tc>
      </w:tr>
      <w:tr>
        <w:trPr>
          <w:trHeight w:val="234"/>
        </w:trPr>
        <w:tc>
          <w:tcPr>
            <w:tcW w:w="900" w:type="dxa"/>
            <w:vAlign w:val="bottom"/>
          </w:tcPr>
          <w:p>
            <w:pPr>
              <w:jc w:val="center"/>
              <w:spacing w:after="0"/>
              <w:rPr>
                <w:sz w:val="20"/>
                <w:szCs w:val="20"/>
                <w:color w:val="auto"/>
              </w:rPr>
            </w:pPr>
            <w:r>
              <w:rPr>
                <w:rFonts w:ascii="Arial" w:cs="Arial" w:eastAsia="Arial" w:hAnsi="Arial"/>
                <w:sz w:val="13"/>
                <w:szCs w:val="13"/>
                <w:color w:val="auto"/>
                <w:w w:val="95"/>
              </w:rPr>
              <w:t>32.2**</w:t>
            </w:r>
          </w:p>
        </w:tc>
        <w:tc>
          <w:tcPr>
            <w:tcW w:w="60" w:type="dxa"/>
            <w:vAlign w:val="bottom"/>
          </w:tcPr>
          <w:p>
            <w:pPr>
              <w:spacing w:after="0"/>
              <w:rPr>
                <w:sz w:val="20"/>
                <w:szCs w:val="20"/>
                <w:color w:val="auto"/>
              </w:rPr>
            </w:pPr>
          </w:p>
        </w:tc>
        <w:tc>
          <w:tcPr>
            <w:tcW w:w="10520" w:type="dxa"/>
            <w:vAlign w:val="bottom"/>
            <w:gridSpan w:val="4"/>
          </w:tcPr>
          <w:p>
            <w:pPr>
              <w:spacing w:after="0"/>
              <w:rPr>
                <w:rFonts w:ascii="Arial" w:cs="Arial" w:eastAsia="Arial" w:hAnsi="Arial"/>
                <w:sz w:val="13"/>
                <w:szCs w:val="13"/>
                <w:color w:val="0000EE"/>
              </w:rPr>
            </w:pPr>
            <w:hyperlink w:anchor="page54">
              <w:r>
                <w:rPr>
                  <w:rFonts w:ascii="Arial" w:cs="Arial" w:eastAsia="Arial" w:hAnsi="Arial"/>
                  <w:sz w:val="13"/>
                  <w:szCs w:val="13"/>
                  <w:color w:val="0000EE"/>
                </w:rPr>
                <w:t>Certification of the Chief Financial Officer pursuant to 18 U.S.C. Section 1350, as adopted pursuant to Section 906 of the Sarbanes-Oxley Act of 2002.</w:t>
              </w:r>
            </w:hyperlink>
          </w:p>
        </w:tc>
      </w:tr>
      <w:tr>
        <w:trPr>
          <w:trHeight w:val="261"/>
        </w:trPr>
        <w:tc>
          <w:tcPr>
            <w:tcW w:w="900" w:type="dxa"/>
            <w:vAlign w:val="bottom"/>
          </w:tcPr>
          <w:p>
            <w:pPr>
              <w:jc w:val="center"/>
              <w:spacing w:after="0"/>
              <w:rPr>
                <w:sz w:val="20"/>
                <w:szCs w:val="20"/>
                <w:color w:val="auto"/>
              </w:rPr>
            </w:pPr>
            <w:r>
              <w:rPr>
                <w:rFonts w:ascii="Arial" w:cs="Arial" w:eastAsia="Arial" w:hAnsi="Arial"/>
                <w:sz w:val="13"/>
                <w:szCs w:val="13"/>
                <w:color w:val="auto"/>
                <w:w w:val="92"/>
              </w:rPr>
              <w:t>101.INS*</w:t>
            </w:r>
          </w:p>
        </w:tc>
        <w:tc>
          <w:tcPr>
            <w:tcW w:w="60" w:type="dxa"/>
            <w:vAlign w:val="bottom"/>
          </w:tcPr>
          <w:p>
            <w:pPr>
              <w:spacing w:after="0"/>
              <w:rPr>
                <w:sz w:val="22"/>
                <w:szCs w:val="22"/>
                <w:color w:val="auto"/>
              </w:rPr>
            </w:pPr>
          </w:p>
        </w:tc>
        <w:tc>
          <w:tcPr>
            <w:tcW w:w="7580" w:type="dxa"/>
            <w:vAlign w:val="bottom"/>
            <w:tcBorders>
              <w:top w:val="single" w:sz="8" w:color="0000EE"/>
            </w:tcBorders>
            <w:gridSpan w:val="2"/>
          </w:tcPr>
          <w:p>
            <w:pPr>
              <w:spacing w:after="0"/>
              <w:rPr>
                <w:sz w:val="20"/>
                <w:szCs w:val="20"/>
                <w:color w:val="auto"/>
              </w:rPr>
            </w:pPr>
            <w:r>
              <w:rPr>
                <w:rFonts w:ascii="Arial" w:cs="Arial" w:eastAsia="Arial" w:hAnsi="Arial"/>
                <w:sz w:val="13"/>
                <w:szCs w:val="13"/>
                <w:color w:val="auto"/>
              </w:rPr>
              <w:t>XBRL Instance Document</w:t>
            </w:r>
          </w:p>
        </w:tc>
        <w:tc>
          <w:tcPr>
            <w:tcW w:w="2940" w:type="dxa"/>
            <w:vAlign w:val="bottom"/>
            <w:gridSpan w:val="2"/>
          </w:tcPr>
          <w:p>
            <w:pPr>
              <w:spacing w:after="0"/>
              <w:rPr>
                <w:sz w:val="22"/>
                <w:szCs w:val="22"/>
                <w:color w:val="auto"/>
              </w:rPr>
            </w:pPr>
          </w:p>
        </w:tc>
      </w:tr>
      <w:tr>
        <w:trPr>
          <w:trHeight w:val="254"/>
        </w:trPr>
        <w:tc>
          <w:tcPr>
            <w:tcW w:w="900" w:type="dxa"/>
            <w:vAlign w:val="bottom"/>
          </w:tcPr>
          <w:p>
            <w:pPr>
              <w:jc w:val="center"/>
              <w:spacing w:after="0"/>
              <w:rPr>
                <w:sz w:val="20"/>
                <w:szCs w:val="20"/>
                <w:color w:val="auto"/>
              </w:rPr>
            </w:pPr>
            <w:r>
              <w:rPr>
                <w:rFonts w:ascii="Arial" w:cs="Arial" w:eastAsia="Arial" w:hAnsi="Arial"/>
                <w:sz w:val="13"/>
                <w:szCs w:val="13"/>
                <w:color w:val="auto"/>
                <w:w w:val="93"/>
              </w:rPr>
              <w:t>101.SCH*</w:t>
            </w:r>
          </w:p>
        </w:tc>
        <w:tc>
          <w:tcPr>
            <w:tcW w:w="60" w:type="dxa"/>
            <w:vAlign w:val="bottom"/>
          </w:tcPr>
          <w:p>
            <w:pPr>
              <w:spacing w:after="0"/>
              <w:rPr>
                <w:sz w:val="22"/>
                <w:szCs w:val="22"/>
                <w:color w:val="auto"/>
              </w:rPr>
            </w:pPr>
          </w:p>
        </w:tc>
        <w:tc>
          <w:tcPr>
            <w:tcW w:w="10520" w:type="dxa"/>
            <w:vAlign w:val="bottom"/>
            <w:gridSpan w:val="4"/>
          </w:tcPr>
          <w:p>
            <w:pPr>
              <w:spacing w:after="0"/>
              <w:rPr>
                <w:sz w:val="20"/>
                <w:szCs w:val="20"/>
                <w:color w:val="auto"/>
              </w:rPr>
            </w:pPr>
            <w:r>
              <w:rPr>
                <w:rFonts w:ascii="Arial" w:cs="Arial" w:eastAsia="Arial" w:hAnsi="Arial"/>
                <w:sz w:val="13"/>
                <w:szCs w:val="13"/>
                <w:color w:val="auto"/>
              </w:rPr>
              <w:t>XBRL Taxonomy Extension Schema Document</w:t>
            </w:r>
          </w:p>
        </w:tc>
      </w:tr>
      <w:tr>
        <w:trPr>
          <w:trHeight w:val="254"/>
        </w:trPr>
        <w:tc>
          <w:tcPr>
            <w:tcW w:w="900" w:type="dxa"/>
            <w:vAlign w:val="bottom"/>
          </w:tcPr>
          <w:p>
            <w:pPr>
              <w:jc w:val="center"/>
              <w:spacing w:after="0"/>
              <w:rPr>
                <w:sz w:val="20"/>
                <w:szCs w:val="20"/>
                <w:color w:val="auto"/>
              </w:rPr>
            </w:pPr>
            <w:r>
              <w:rPr>
                <w:rFonts w:ascii="Arial" w:cs="Arial" w:eastAsia="Arial" w:hAnsi="Arial"/>
                <w:sz w:val="13"/>
                <w:szCs w:val="13"/>
                <w:color w:val="auto"/>
                <w:w w:val="96"/>
              </w:rPr>
              <w:t>101.CAL*</w:t>
            </w:r>
          </w:p>
        </w:tc>
        <w:tc>
          <w:tcPr>
            <w:tcW w:w="60" w:type="dxa"/>
            <w:vAlign w:val="bottom"/>
          </w:tcPr>
          <w:p>
            <w:pPr>
              <w:spacing w:after="0"/>
              <w:rPr>
                <w:sz w:val="22"/>
                <w:szCs w:val="22"/>
                <w:color w:val="auto"/>
              </w:rPr>
            </w:pPr>
          </w:p>
        </w:tc>
        <w:tc>
          <w:tcPr>
            <w:tcW w:w="10520" w:type="dxa"/>
            <w:vAlign w:val="bottom"/>
            <w:gridSpan w:val="4"/>
          </w:tcPr>
          <w:p>
            <w:pPr>
              <w:spacing w:after="0"/>
              <w:rPr>
                <w:sz w:val="20"/>
                <w:szCs w:val="20"/>
                <w:color w:val="auto"/>
              </w:rPr>
            </w:pPr>
            <w:r>
              <w:rPr>
                <w:rFonts w:ascii="Arial" w:cs="Arial" w:eastAsia="Arial" w:hAnsi="Arial"/>
                <w:sz w:val="13"/>
                <w:szCs w:val="13"/>
                <w:color w:val="auto"/>
              </w:rPr>
              <w:t>XBRL Taxonomy Extension Calculation Linkbase Document</w:t>
            </w:r>
          </w:p>
        </w:tc>
      </w:tr>
      <w:tr>
        <w:trPr>
          <w:trHeight w:val="254"/>
        </w:trPr>
        <w:tc>
          <w:tcPr>
            <w:tcW w:w="900" w:type="dxa"/>
            <w:vAlign w:val="bottom"/>
          </w:tcPr>
          <w:p>
            <w:pPr>
              <w:jc w:val="center"/>
              <w:spacing w:after="0"/>
              <w:rPr>
                <w:sz w:val="20"/>
                <w:szCs w:val="20"/>
                <w:color w:val="auto"/>
              </w:rPr>
            </w:pPr>
            <w:r>
              <w:rPr>
                <w:rFonts w:ascii="Arial" w:cs="Arial" w:eastAsia="Arial" w:hAnsi="Arial"/>
                <w:sz w:val="13"/>
                <w:szCs w:val="13"/>
                <w:color w:val="auto"/>
                <w:w w:val="92"/>
              </w:rPr>
              <w:t>101.DEF*</w:t>
            </w:r>
          </w:p>
        </w:tc>
        <w:tc>
          <w:tcPr>
            <w:tcW w:w="60" w:type="dxa"/>
            <w:vAlign w:val="bottom"/>
          </w:tcPr>
          <w:p>
            <w:pPr>
              <w:spacing w:after="0"/>
              <w:rPr>
                <w:sz w:val="22"/>
                <w:szCs w:val="22"/>
                <w:color w:val="auto"/>
              </w:rPr>
            </w:pPr>
          </w:p>
        </w:tc>
        <w:tc>
          <w:tcPr>
            <w:tcW w:w="10520" w:type="dxa"/>
            <w:vAlign w:val="bottom"/>
            <w:gridSpan w:val="4"/>
          </w:tcPr>
          <w:p>
            <w:pPr>
              <w:spacing w:after="0"/>
              <w:rPr>
                <w:sz w:val="20"/>
                <w:szCs w:val="20"/>
                <w:color w:val="auto"/>
              </w:rPr>
            </w:pPr>
            <w:r>
              <w:rPr>
                <w:rFonts w:ascii="Arial" w:cs="Arial" w:eastAsia="Arial" w:hAnsi="Arial"/>
                <w:sz w:val="13"/>
                <w:szCs w:val="13"/>
                <w:color w:val="auto"/>
              </w:rPr>
              <w:t>XBRL Taxonomy Extension Definition Linkbase Document</w:t>
            </w:r>
          </w:p>
        </w:tc>
      </w:tr>
      <w:tr>
        <w:trPr>
          <w:trHeight w:val="254"/>
        </w:trPr>
        <w:tc>
          <w:tcPr>
            <w:tcW w:w="900" w:type="dxa"/>
            <w:vAlign w:val="bottom"/>
          </w:tcPr>
          <w:p>
            <w:pPr>
              <w:jc w:val="center"/>
              <w:spacing w:after="0"/>
              <w:rPr>
                <w:sz w:val="20"/>
                <w:szCs w:val="20"/>
                <w:color w:val="auto"/>
              </w:rPr>
            </w:pPr>
            <w:r>
              <w:rPr>
                <w:rFonts w:ascii="Arial" w:cs="Arial" w:eastAsia="Arial" w:hAnsi="Arial"/>
                <w:sz w:val="13"/>
                <w:szCs w:val="13"/>
                <w:color w:val="auto"/>
                <w:w w:val="98"/>
              </w:rPr>
              <w:t>101.LAB*</w:t>
            </w:r>
          </w:p>
        </w:tc>
        <w:tc>
          <w:tcPr>
            <w:tcW w:w="60" w:type="dxa"/>
            <w:vAlign w:val="bottom"/>
          </w:tcPr>
          <w:p>
            <w:pPr>
              <w:spacing w:after="0"/>
              <w:rPr>
                <w:sz w:val="22"/>
                <w:szCs w:val="22"/>
                <w:color w:val="auto"/>
              </w:rPr>
            </w:pPr>
          </w:p>
        </w:tc>
        <w:tc>
          <w:tcPr>
            <w:tcW w:w="10520" w:type="dxa"/>
            <w:vAlign w:val="bottom"/>
            <w:gridSpan w:val="4"/>
          </w:tcPr>
          <w:p>
            <w:pPr>
              <w:spacing w:after="0"/>
              <w:rPr>
                <w:sz w:val="20"/>
                <w:szCs w:val="20"/>
                <w:color w:val="auto"/>
              </w:rPr>
            </w:pPr>
            <w:r>
              <w:rPr>
                <w:rFonts w:ascii="Arial" w:cs="Arial" w:eastAsia="Arial" w:hAnsi="Arial"/>
                <w:sz w:val="13"/>
                <w:szCs w:val="13"/>
                <w:color w:val="auto"/>
              </w:rPr>
              <w:t>XBRL Taxonomy Extension Label Linkbase Document</w:t>
            </w:r>
          </w:p>
        </w:tc>
      </w:tr>
      <w:tr>
        <w:trPr>
          <w:trHeight w:val="254"/>
        </w:trPr>
        <w:tc>
          <w:tcPr>
            <w:tcW w:w="900" w:type="dxa"/>
            <w:vAlign w:val="bottom"/>
          </w:tcPr>
          <w:p>
            <w:pPr>
              <w:jc w:val="center"/>
              <w:spacing w:after="0"/>
              <w:rPr>
                <w:sz w:val="20"/>
                <w:szCs w:val="20"/>
                <w:color w:val="auto"/>
              </w:rPr>
            </w:pPr>
            <w:r>
              <w:rPr>
                <w:rFonts w:ascii="Arial" w:cs="Arial" w:eastAsia="Arial" w:hAnsi="Arial"/>
                <w:sz w:val="13"/>
                <w:szCs w:val="13"/>
                <w:color w:val="auto"/>
                <w:w w:val="87"/>
              </w:rPr>
              <w:t>101.PRE*</w:t>
            </w:r>
          </w:p>
        </w:tc>
        <w:tc>
          <w:tcPr>
            <w:tcW w:w="60" w:type="dxa"/>
            <w:vAlign w:val="bottom"/>
          </w:tcPr>
          <w:p>
            <w:pPr>
              <w:spacing w:after="0"/>
              <w:rPr>
                <w:sz w:val="22"/>
                <w:szCs w:val="22"/>
                <w:color w:val="auto"/>
              </w:rPr>
            </w:pPr>
          </w:p>
        </w:tc>
        <w:tc>
          <w:tcPr>
            <w:tcW w:w="10520" w:type="dxa"/>
            <w:vAlign w:val="bottom"/>
            <w:gridSpan w:val="4"/>
          </w:tcPr>
          <w:p>
            <w:pPr>
              <w:spacing w:after="0"/>
              <w:rPr>
                <w:sz w:val="20"/>
                <w:szCs w:val="20"/>
                <w:color w:val="auto"/>
              </w:rPr>
            </w:pPr>
            <w:r>
              <w:rPr>
                <w:rFonts w:ascii="Arial" w:cs="Arial" w:eastAsia="Arial" w:hAnsi="Arial"/>
                <w:sz w:val="13"/>
                <w:szCs w:val="13"/>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121285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1212850" cy="5715"/>
                    </a:xfrm>
                    <a:prstGeom prst="rect">
                      <a:avLst/>
                    </a:prstGeom>
                    <a:noFill/>
                  </pic:spPr>
                </pic:pic>
              </a:graphicData>
            </a:graphic>
          </wp:anchor>
        </w:drawing>
      </w:r>
    </w:p>
    <w:p>
      <w:pPr>
        <w:spacing w:after="0" w:line="104" w:lineRule="exact"/>
        <w:rPr>
          <w:sz w:val="20"/>
          <w:szCs w:val="20"/>
          <w:color w:val="auto"/>
        </w:rPr>
      </w:pPr>
    </w:p>
    <w:p>
      <w:pPr>
        <w:ind w:left="525" w:hanging="525"/>
        <w:spacing w:after="0"/>
        <w:tabs>
          <w:tab w:leader="none" w:pos="525" w:val="left"/>
        </w:tabs>
        <w:numPr>
          <w:ilvl w:val="0"/>
          <w:numId w:val="32"/>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8" w:lineRule="exact"/>
        <w:rPr>
          <w:sz w:val="20"/>
          <w:szCs w:val="20"/>
          <w:color w:val="auto"/>
        </w:rPr>
      </w:pPr>
    </w:p>
    <w:p>
      <w:pPr>
        <w:ind w:left="525" w:hanging="525"/>
        <w:spacing w:after="0"/>
        <w:tabs>
          <w:tab w:leader="none" w:pos="525" w:val="left"/>
        </w:tabs>
        <w:numPr>
          <w:ilvl w:val="0"/>
          <w:numId w:val="33"/>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1" w:lineRule="exact"/>
        <w:rPr>
          <w:sz w:val="20"/>
          <w:szCs w:val="20"/>
          <w:color w:val="auto"/>
        </w:rPr>
      </w:pPr>
    </w:p>
    <w:p>
      <w:pPr>
        <w:ind w:left="525" w:hanging="525"/>
        <w:spacing w:after="0"/>
        <w:tabs>
          <w:tab w:leader="none" w:pos="525" w:val="left"/>
        </w:tabs>
        <w:numPr>
          <w:ilvl w:val="0"/>
          <w:numId w:val="34"/>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w:t>
      </w:r>
    </w:p>
    <w:p>
      <w:pPr>
        <w:spacing w:after="0" w:line="200" w:lineRule="exact"/>
        <w:rPr>
          <w:sz w:val="20"/>
          <w:szCs w:val="20"/>
          <w:color w:val="auto"/>
        </w:rPr>
      </w:pPr>
    </w:p>
    <w:p>
      <w:pPr>
        <w:spacing w:after="0" w:line="377"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wp:posOffset>
            </wp:positionV>
            <wp:extent cx="732536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325360" cy="37465"/>
                    </a:xfrm>
                    <a:prstGeom prst="rect">
                      <a:avLst/>
                    </a:prstGeom>
                    <a:noFill/>
                  </pic:spPr>
                </pic:pic>
              </a:graphicData>
            </a:graphic>
          </wp:anchor>
        </w:drawing>
      </w:r>
    </w:p>
    <w:p>
      <w:pPr>
        <w:sectPr>
          <w:pgSz w:w="11900" w:h="16838" w:orient="portrait"/>
          <w:cols w:equalWidth="0" w:num="1">
            <w:col w:w="11485"/>
          </w:cols>
          <w:pgMar w:left="215" w:top="285" w:right="199" w:bottom="1440" w:gutter="0" w:footer="0" w:header="0"/>
        </w:sectPr>
      </w:pPr>
    </w:p>
    <w:bookmarkStart w:id="49" w:name="page50"/>
    <w:bookmarkEnd w:id="49"/>
    <w:p>
      <w:pPr>
        <w:ind w:left="5320"/>
        <w:spacing w:after="0"/>
        <w:rPr>
          <w:sz w:val="20"/>
          <w:szCs w:val="20"/>
          <w:color w:val="auto"/>
        </w:rPr>
      </w:pPr>
      <w:r>
        <w:rPr>
          <w:rFonts w:ascii="Arial" w:cs="Arial" w:eastAsia="Arial" w:hAnsi="Arial"/>
          <w:sz w:val="13"/>
          <w:szCs w:val="13"/>
          <w:b w:val="1"/>
          <w:bCs w:val="1"/>
          <w:color w:val="auto"/>
        </w:rPr>
        <w:t>SIGNATURES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900"/>
        <w:spacing w:after="0"/>
        <w:rPr>
          <w:sz w:val="20"/>
          <w:szCs w:val="20"/>
          <w:color w:val="auto"/>
        </w:rPr>
      </w:pPr>
      <w:r>
        <w:rPr>
          <w:rFonts w:ascii="Arial" w:cs="Arial" w:eastAsia="Arial" w:hAnsi="Arial"/>
          <w:sz w:val="13"/>
          <w:szCs w:val="13"/>
          <w:b w:val="1"/>
          <w:bCs w:val="1"/>
          <w:color w:val="auto"/>
        </w:rPr>
        <w:t>Targa Resources Partners LP</w:t>
      </w:r>
    </w:p>
    <w:p>
      <w:pPr>
        <w:spacing w:after="0" w:line="174" w:lineRule="exact"/>
        <w:rPr>
          <w:sz w:val="20"/>
          <w:szCs w:val="20"/>
          <w:color w:val="auto"/>
        </w:rPr>
      </w:pPr>
    </w:p>
    <w:p>
      <w:pPr>
        <w:ind w:left="6900"/>
        <w:spacing w:after="0"/>
        <w:rPr>
          <w:sz w:val="20"/>
          <w:szCs w:val="20"/>
          <w:color w:val="auto"/>
        </w:rPr>
      </w:pPr>
      <w:r>
        <w:rPr>
          <w:rFonts w:ascii="Arial" w:cs="Arial" w:eastAsia="Arial" w:hAnsi="Arial"/>
          <w:sz w:val="13"/>
          <w:szCs w:val="13"/>
          <w:color w:val="auto"/>
        </w:rPr>
        <w:t>By: Targa Resources GP LLC,</w:t>
      </w:r>
    </w:p>
    <w:p>
      <w:pPr>
        <w:spacing w:after="0" w:line="8"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its general partner</w:t>
      </w:r>
    </w:p>
    <w:p>
      <w:pPr>
        <w:spacing w:after="0" w:line="163" w:lineRule="exact"/>
        <w:rPr>
          <w:sz w:val="20"/>
          <w:szCs w:val="20"/>
          <w:color w:val="auto"/>
        </w:rPr>
      </w:pPr>
    </w:p>
    <w:p>
      <w:pPr>
        <w:spacing w:after="0"/>
        <w:tabs>
          <w:tab w:leader="none" w:pos="6880" w:val="left"/>
        </w:tabs>
        <w:rPr>
          <w:sz w:val="20"/>
          <w:szCs w:val="20"/>
          <w:color w:val="auto"/>
        </w:rPr>
      </w:pPr>
      <w:r>
        <w:rPr>
          <w:rFonts w:ascii="Arial" w:cs="Arial" w:eastAsia="Arial" w:hAnsi="Arial"/>
          <w:sz w:val="13"/>
          <w:szCs w:val="13"/>
          <w:color w:val="auto"/>
        </w:rPr>
        <w:t>Date: May 8, 2019</w:t>
      </w:r>
      <w:r>
        <w:rPr>
          <w:sz w:val="20"/>
          <w:szCs w:val="20"/>
          <w:color w:val="auto"/>
        </w:rPr>
        <w:tab/>
      </w:r>
      <w:r>
        <w:rPr>
          <w:rFonts w:ascii="Arial" w:cs="Arial" w:eastAsia="Arial" w:hAnsi="Arial"/>
          <w:sz w:val="11"/>
          <w:szCs w:val="11"/>
          <w:color w:val="auto"/>
        </w:rPr>
        <w:t xml:space="preserve">By: </w:t>
      </w:r>
      <w:r>
        <w:rPr>
          <w:rFonts w:ascii="Arial" w:cs="Arial" w:eastAsia="Arial" w:hAnsi="Arial"/>
          <w:sz w:val="11"/>
          <w:szCs w:val="11"/>
          <w:i w:val="1"/>
          <w:iCs w:val="1"/>
          <w:color w:val="auto"/>
        </w:rPr>
        <w:t>/s/ Jennifer R. Kneale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4519295</wp:posOffset>
            </wp:positionH>
            <wp:positionV relativeFrom="paragraph">
              <wp:posOffset>6350</wp:posOffset>
            </wp:positionV>
            <wp:extent cx="276606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Jennifer R. Kneale</w:t>
      </w:r>
    </w:p>
    <w:p>
      <w:pPr>
        <w:spacing w:after="0" w:line="20"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(Principal Financial Officer)</w:t>
      </w:r>
    </w:p>
    <w:p>
      <w:pPr>
        <w:spacing w:after="0" w:line="200" w:lineRule="exact"/>
        <w:rPr>
          <w:sz w:val="20"/>
          <w:szCs w:val="20"/>
          <w:color w:val="auto"/>
        </w:rPr>
      </w:pPr>
    </w:p>
    <w:p>
      <w:pPr>
        <w:spacing w:after="0" w:line="262"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0239"/>
          </w:cols>
          <w:pgMar w:left="220" w:top="277"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3"/>
          <w:szCs w:val="13"/>
          <w:b w:val="1"/>
          <w:bCs w:val="1"/>
          <w:color w:val="auto"/>
        </w:rPr>
        <w:t>Exhibit 31.1</w:t>
      </w:r>
    </w:p>
    <w:p>
      <w:pPr>
        <w:spacing w:after="0" w:line="152"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2"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PURSUANT TO RULE 13A-14(A) AND RULE 15D-14(A)</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OF THE SECURITIES EXCHANGE ACT OF 1934, AS AMENDED</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3"/>
          <w:szCs w:val="13"/>
          <w:color w:val="auto"/>
        </w:rPr>
        <w:t>I, Joe Bob Perkins, certify that:</w:t>
      </w:r>
    </w:p>
    <w:p>
      <w:pPr>
        <w:spacing w:after="0" w:line="152" w:lineRule="exact"/>
        <w:rPr>
          <w:sz w:val="20"/>
          <w:szCs w:val="20"/>
          <w:color w:val="auto"/>
        </w:rPr>
      </w:pPr>
    </w:p>
    <w:p>
      <w:pPr>
        <w:ind w:left="125" w:hanging="125"/>
        <w:spacing w:after="0"/>
        <w:tabs>
          <w:tab w:leader="none" w:pos="125" w:val="left"/>
        </w:tabs>
        <w:numPr>
          <w:ilvl w:val="0"/>
          <w:numId w:val="35"/>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Targa Resources Partners LP (the “registrant”);</w:t>
      </w:r>
    </w:p>
    <w:p>
      <w:pPr>
        <w:spacing w:after="0" w:line="151" w:lineRule="exact"/>
        <w:rPr>
          <w:rFonts w:ascii="Arial" w:cs="Arial" w:eastAsia="Arial" w:hAnsi="Arial"/>
          <w:sz w:val="13"/>
          <w:szCs w:val="13"/>
          <w:color w:val="auto"/>
        </w:rPr>
      </w:pPr>
    </w:p>
    <w:p>
      <w:pPr>
        <w:ind w:left="5" w:right="20" w:hanging="5"/>
        <w:spacing w:after="0" w:line="254" w:lineRule="auto"/>
        <w:tabs>
          <w:tab w:leader="none" w:pos="136"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3"/>
          <w:szCs w:val="13"/>
          <w:color w:val="auto"/>
        </w:rPr>
      </w:pPr>
    </w:p>
    <w:p>
      <w:pPr>
        <w:ind w:left="5" w:right="20" w:hanging="5"/>
        <w:spacing w:after="0" w:line="254" w:lineRule="auto"/>
        <w:tabs>
          <w:tab w:leader="none" w:pos="132"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3"/>
          <w:szCs w:val="13"/>
          <w:color w:val="auto"/>
        </w:rPr>
      </w:pPr>
    </w:p>
    <w:p>
      <w:pPr>
        <w:ind w:left="5" w:right="20" w:hanging="5"/>
        <w:spacing w:after="0" w:line="254" w:lineRule="auto"/>
        <w:tabs>
          <w:tab w:leader="none" w:pos="133"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sz w:val="20"/>
          <w:szCs w:val="20"/>
          <w:color w:val="auto"/>
        </w:rPr>
      </w:pPr>
    </w:p>
    <w:p>
      <w:pPr>
        <w:ind w:left="5" w:hanging="5"/>
        <w:spacing w:after="0" w:line="254" w:lineRule="auto"/>
        <w:tabs>
          <w:tab w:leader="none" w:pos="196" w:val="left"/>
        </w:tabs>
        <w:numPr>
          <w:ilvl w:val="0"/>
          <w:numId w:val="3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3"/>
          <w:szCs w:val="13"/>
          <w:color w:val="auto"/>
        </w:rPr>
      </w:pPr>
    </w:p>
    <w:p>
      <w:pPr>
        <w:ind w:left="5" w:right="20" w:hanging="5"/>
        <w:spacing w:after="0" w:line="254" w:lineRule="auto"/>
        <w:tabs>
          <w:tab w:leader="none" w:pos="195" w:val="left"/>
        </w:tabs>
        <w:numPr>
          <w:ilvl w:val="0"/>
          <w:numId w:val="3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3"/>
          <w:szCs w:val="13"/>
          <w:color w:val="auto"/>
        </w:rPr>
      </w:pPr>
    </w:p>
    <w:p>
      <w:pPr>
        <w:ind w:left="5" w:right="20" w:hanging="5"/>
        <w:spacing w:after="0" w:line="254" w:lineRule="auto"/>
        <w:tabs>
          <w:tab w:leader="none" w:pos="187" w:val="left"/>
        </w:tabs>
        <w:numPr>
          <w:ilvl w:val="0"/>
          <w:numId w:val="3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3"/>
          <w:szCs w:val="13"/>
          <w:color w:val="auto"/>
        </w:rPr>
      </w:pPr>
    </w:p>
    <w:p>
      <w:pPr>
        <w:ind w:left="5" w:hanging="5"/>
        <w:spacing w:after="0" w:line="254" w:lineRule="auto"/>
        <w:tabs>
          <w:tab w:leader="none" w:pos="184" w:val="left"/>
        </w:tabs>
        <w:numPr>
          <w:ilvl w:val="0"/>
          <w:numId w:val="3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sz w:val="20"/>
          <w:szCs w:val="20"/>
          <w:color w:val="auto"/>
        </w:rPr>
      </w:pPr>
    </w:p>
    <w:p>
      <w:pPr>
        <w:ind w:left="5" w:right="20" w:hanging="5"/>
        <w:spacing w:after="0" w:line="254" w:lineRule="auto"/>
        <w:tabs>
          <w:tab w:leader="none" w:pos="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5" w:right="20" w:hanging="5"/>
        <w:spacing w:after="0" w:line="254" w:lineRule="auto"/>
        <w:tabs>
          <w:tab w:leader="none" w:pos="181" w:val="left"/>
        </w:tabs>
        <w:numPr>
          <w:ilvl w:val="0"/>
          <w:numId w:val="3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3"/>
          <w:szCs w:val="13"/>
          <w:color w:val="auto"/>
        </w:rPr>
      </w:pPr>
    </w:p>
    <w:p>
      <w:pPr>
        <w:ind w:left="185" w:hanging="185"/>
        <w:spacing w:after="0"/>
        <w:tabs>
          <w:tab w:leader="none" w:pos="185"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3"/>
          <w:szCs w:val="13"/>
          <w:color w:val="auto"/>
        </w:rPr>
        <w:t>Date: May 8, 2019</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158"/>
        </w:trPr>
        <w:tc>
          <w:tcPr>
            <w:tcW w:w="620" w:type="dxa"/>
            <w:vAlign w:val="bottom"/>
          </w:tcPr>
          <w:p>
            <w:pPr>
              <w:spacing w:after="0"/>
              <w:rPr>
                <w:sz w:val="20"/>
                <w:szCs w:val="20"/>
                <w:color w:val="auto"/>
              </w:rPr>
            </w:pPr>
            <w:r>
              <w:rPr>
                <w:rFonts w:ascii="Arial" w:cs="Arial" w:eastAsia="Arial" w:hAnsi="Arial"/>
                <w:sz w:val="13"/>
                <w:szCs w:val="13"/>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Joe Bob Perkins</w:t>
            </w:r>
          </w:p>
        </w:tc>
      </w:tr>
      <w:tr>
        <w:trPr>
          <w:trHeight w:val="133"/>
        </w:trPr>
        <w:tc>
          <w:tcPr>
            <w:tcW w:w="620" w:type="dxa"/>
            <w:vAlign w:val="bottom"/>
          </w:tcPr>
          <w:p>
            <w:pPr>
              <w:spacing w:after="0" w:line="133" w:lineRule="exact"/>
              <w:rPr>
                <w:sz w:val="20"/>
                <w:szCs w:val="20"/>
                <w:color w:val="auto"/>
              </w:rPr>
            </w:pPr>
            <w:r>
              <w:rPr>
                <w:rFonts w:ascii="Arial" w:cs="Arial" w:eastAsia="Arial" w:hAnsi="Arial"/>
                <w:sz w:val="13"/>
                <w:szCs w:val="13"/>
                <w:color w:val="auto"/>
              </w:rPr>
              <w:t>Name:</w:t>
            </w:r>
          </w:p>
        </w:tc>
        <w:tc>
          <w:tcPr>
            <w:tcW w:w="4120" w:type="dxa"/>
            <w:vAlign w:val="bottom"/>
          </w:tcPr>
          <w:p>
            <w:pPr>
              <w:spacing w:after="0" w:line="133" w:lineRule="exact"/>
              <w:rPr>
                <w:sz w:val="20"/>
                <w:szCs w:val="20"/>
                <w:color w:val="auto"/>
              </w:rPr>
            </w:pPr>
            <w:r>
              <w:rPr>
                <w:rFonts w:ascii="Arial" w:cs="Arial" w:eastAsia="Arial" w:hAnsi="Arial"/>
                <w:sz w:val="13"/>
                <w:szCs w:val="13"/>
                <w:color w:val="auto"/>
              </w:rPr>
              <w:t>Joe Bob Perkins</w:t>
            </w:r>
          </w:p>
        </w:tc>
      </w:tr>
      <w:tr>
        <w:trPr>
          <w:trHeight w:val="151"/>
        </w:trPr>
        <w:tc>
          <w:tcPr>
            <w:tcW w:w="620" w:type="dxa"/>
            <w:vAlign w:val="bottom"/>
          </w:tcPr>
          <w:p>
            <w:pPr>
              <w:spacing w:after="0"/>
              <w:rPr>
                <w:sz w:val="20"/>
                <w:szCs w:val="20"/>
                <w:color w:val="auto"/>
              </w:rPr>
            </w:pPr>
            <w:r>
              <w:rPr>
                <w:rFonts w:ascii="Arial" w:cs="Arial" w:eastAsia="Arial" w:hAnsi="Arial"/>
                <w:sz w:val="13"/>
                <w:szCs w:val="13"/>
                <w:color w:val="auto"/>
              </w:rPr>
              <w:t>Title:</w:t>
            </w:r>
          </w:p>
        </w:tc>
        <w:tc>
          <w:tcPr>
            <w:tcW w:w="4120" w:type="dxa"/>
            <w:vAlign w:val="bottom"/>
          </w:tcPr>
          <w:p>
            <w:pPr>
              <w:spacing w:after="0"/>
              <w:rPr>
                <w:sz w:val="20"/>
                <w:szCs w:val="20"/>
                <w:color w:val="auto"/>
              </w:rPr>
            </w:pPr>
            <w:r>
              <w:rPr>
                <w:rFonts w:ascii="Arial" w:cs="Arial" w:eastAsia="Arial" w:hAnsi="Arial"/>
                <w:sz w:val="13"/>
                <w:szCs w:val="13"/>
                <w:color w:val="auto"/>
              </w:rPr>
              <w:t>Chief Executive Officer</w:t>
            </w:r>
          </w:p>
        </w:tc>
      </w:tr>
      <w:tr>
        <w:trPr>
          <w:trHeight w:val="151"/>
        </w:trPr>
        <w:tc>
          <w:tcPr>
            <w:tcW w:w="6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w w:val="87"/>
              </w:rPr>
              <w:t>of Targa Resources GP LLC, the general partner of Targa Resources Partners LP</w:t>
            </w:r>
          </w:p>
        </w:tc>
      </w:tr>
      <w:tr>
        <w:trPr>
          <w:trHeight w:val="158"/>
        </w:trPr>
        <w:tc>
          <w:tcPr>
            <w:tcW w:w="6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(Principal Executive Officer)</w:t>
            </w:r>
          </w:p>
        </w:tc>
      </w:tr>
    </w:tbl>
    <w:p>
      <w:pPr>
        <w:sectPr>
          <w:pgSz w:w="11900" w:h="16838" w:orient="portrait"/>
          <w:cols w:equalWidth="0" w:num="1">
            <w:col w:w="11485"/>
          </w:cols>
          <w:pgMar w:left="215" w:top="127" w:right="199" w:bottom="1440" w:gutter="0" w:footer="0" w:header="0"/>
        </w:sectPr>
      </w:pPr>
    </w:p>
    <w:bookmarkStart w:id="51" w:name="page52"/>
    <w:bookmarkEnd w:id="51"/>
    <w:p>
      <w:pPr>
        <w:jc w:val="right"/>
        <w:spacing w:after="0"/>
        <w:rPr>
          <w:sz w:val="20"/>
          <w:szCs w:val="20"/>
          <w:color w:val="auto"/>
        </w:rPr>
      </w:pPr>
      <w:r>
        <w:rPr>
          <w:rFonts w:ascii="Arial" w:cs="Arial" w:eastAsia="Arial" w:hAnsi="Arial"/>
          <w:sz w:val="13"/>
          <w:szCs w:val="13"/>
          <w:b w:val="1"/>
          <w:bCs w:val="1"/>
          <w:color w:val="auto"/>
        </w:rPr>
        <w:t>Exhibit 31.2</w:t>
      </w:r>
    </w:p>
    <w:p>
      <w:pPr>
        <w:spacing w:after="0" w:line="152"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2"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PURSUANT TO RULE 13A-14(A) AND RULE 15D-14(A)</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OF THE SECURITIES EXCHANGE ACT OF 1934, AS AMENDED</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3"/>
          <w:szCs w:val="13"/>
          <w:color w:val="auto"/>
        </w:rPr>
        <w:t>I, Jennifer R. Kneale, certify that:</w:t>
      </w:r>
    </w:p>
    <w:p>
      <w:pPr>
        <w:spacing w:after="0" w:line="152" w:lineRule="exact"/>
        <w:rPr>
          <w:sz w:val="20"/>
          <w:szCs w:val="20"/>
          <w:color w:val="auto"/>
        </w:rPr>
      </w:pPr>
    </w:p>
    <w:p>
      <w:pPr>
        <w:ind w:left="125" w:hanging="125"/>
        <w:spacing w:after="0"/>
        <w:tabs>
          <w:tab w:leader="none" w:pos="125" w:val="left"/>
        </w:tabs>
        <w:numPr>
          <w:ilvl w:val="0"/>
          <w:numId w:val="3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Targa Resources Partners LP (the “registrant”);</w:t>
      </w:r>
    </w:p>
    <w:p>
      <w:pPr>
        <w:spacing w:after="0" w:line="151" w:lineRule="exact"/>
        <w:rPr>
          <w:rFonts w:ascii="Arial" w:cs="Arial" w:eastAsia="Arial" w:hAnsi="Arial"/>
          <w:sz w:val="13"/>
          <w:szCs w:val="13"/>
          <w:color w:val="auto"/>
        </w:rPr>
      </w:pPr>
    </w:p>
    <w:p>
      <w:pPr>
        <w:ind w:left="5" w:right="20" w:hanging="5"/>
        <w:spacing w:after="0" w:line="254" w:lineRule="auto"/>
        <w:tabs>
          <w:tab w:leader="none" w:pos="136" w:val="left"/>
        </w:tabs>
        <w:numPr>
          <w:ilvl w:val="0"/>
          <w:numId w:val="3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3"/>
          <w:szCs w:val="13"/>
          <w:color w:val="auto"/>
        </w:rPr>
      </w:pPr>
    </w:p>
    <w:p>
      <w:pPr>
        <w:ind w:left="5" w:right="20" w:hanging="5"/>
        <w:spacing w:after="0" w:line="254" w:lineRule="auto"/>
        <w:tabs>
          <w:tab w:leader="none" w:pos="132" w:val="left"/>
        </w:tabs>
        <w:numPr>
          <w:ilvl w:val="0"/>
          <w:numId w:val="3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3"/>
          <w:szCs w:val="13"/>
          <w:color w:val="auto"/>
        </w:rPr>
      </w:pPr>
    </w:p>
    <w:p>
      <w:pPr>
        <w:ind w:left="5" w:right="20" w:hanging="5"/>
        <w:spacing w:after="0" w:line="254" w:lineRule="auto"/>
        <w:tabs>
          <w:tab w:leader="none" w:pos="133"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sz w:val="20"/>
          <w:szCs w:val="20"/>
          <w:color w:val="auto"/>
        </w:rPr>
      </w:pPr>
    </w:p>
    <w:p>
      <w:pPr>
        <w:ind w:left="5" w:hanging="5"/>
        <w:spacing w:after="0" w:line="254" w:lineRule="auto"/>
        <w:tabs>
          <w:tab w:leader="none" w:pos="196" w:val="left"/>
        </w:tabs>
        <w:numPr>
          <w:ilvl w:val="0"/>
          <w:numId w:val="4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3"/>
          <w:szCs w:val="13"/>
          <w:color w:val="auto"/>
        </w:rPr>
      </w:pPr>
    </w:p>
    <w:p>
      <w:pPr>
        <w:ind w:left="5" w:right="20" w:hanging="5"/>
        <w:spacing w:after="0" w:line="254" w:lineRule="auto"/>
        <w:tabs>
          <w:tab w:leader="none" w:pos="195" w:val="left"/>
        </w:tabs>
        <w:numPr>
          <w:ilvl w:val="0"/>
          <w:numId w:val="4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3"/>
          <w:szCs w:val="13"/>
          <w:color w:val="auto"/>
        </w:rPr>
      </w:pPr>
    </w:p>
    <w:p>
      <w:pPr>
        <w:ind w:left="5" w:right="20" w:hanging="5"/>
        <w:spacing w:after="0" w:line="254" w:lineRule="auto"/>
        <w:tabs>
          <w:tab w:leader="none" w:pos="187" w:val="left"/>
        </w:tabs>
        <w:numPr>
          <w:ilvl w:val="0"/>
          <w:numId w:val="4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3"/>
          <w:szCs w:val="13"/>
          <w:color w:val="auto"/>
        </w:rPr>
      </w:pPr>
    </w:p>
    <w:p>
      <w:pPr>
        <w:ind w:left="5" w:hanging="5"/>
        <w:spacing w:after="0" w:line="254" w:lineRule="auto"/>
        <w:tabs>
          <w:tab w:leader="none" w:pos="184" w:val="left"/>
        </w:tabs>
        <w:numPr>
          <w:ilvl w:val="0"/>
          <w:numId w:val="4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sz w:val="20"/>
          <w:szCs w:val="20"/>
          <w:color w:val="auto"/>
        </w:rPr>
      </w:pPr>
    </w:p>
    <w:p>
      <w:pPr>
        <w:ind w:left="5" w:right="20" w:hanging="5"/>
        <w:spacing w:after="0" w:line="254" w:lineRule="auto"/>
        <w:tabs>
          <w:tab w:leader="none" w:pos="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5" w:right="20" w:hanging="5"/>
        <w:spacing w:after="0" w:line="254" w:lineRule="auto"/>
        <w:tabs>
          <w:tab w:leader="none" w:pos="181" w:val="left"/>
        </w:tabs>
        <w:numPr>
          <w:ilvl w:val="0"/>
          <w:numId w:val="4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3"/>
          <w:szCs w:val="13"/>
          <w:color w:val="auto"/>
        </w:rPr>
      </w:pPr>
    </w:p>
    <w:p>
      <w:pPr>
        <w:ind w:left="185" w:hanging="185"/>
        <w:spacing w:after="0"/>
        <w:tabs>
          <w:tab w:leader="none" w:pos="185"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3"/>
          <w:szCs w:val="13"/>
          <w:color w:val="auto"/>
        </w:rPr>
        <w:t>Date: May 8, 2019</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158"/>
        </w:trPr>
        <w:tc>
          <w:tcPr>
            <w:tcW w:w="620" w:type="dxa"/>
            <w:vAlign w:val="bottom"/>
          </w:tcPr>
          <w:p>
            <w:pPr>
              <w:spacing w:after="0"/>
              <w:rPr>
                <w:sz w:val="20"/>
                <w:szCs w:val="20"/>
                <w:color w:val="auto"/>
              </w:rPr>
            </w:pPr>
            <w:r>
              <w:rPr>
                <w:rFonts w:ascii="Arial" w:cs="Arial" w:eastAsia="Arial" w:hAnsi="Arial"/>
                <w:sz w:val="13"/>
                <w:szCs w:val="13"/>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Jennifer R. Kneale</w:t>
            </w:r>
          </w:p>
        </w:tc>
      </w:tr>
      <w:tr>
        <w:trPr>
          <w:trHeight w:val="133"/>
        </w:trPr>
        <w:tc>
          <w:tcPr>
            <w:tcW w:w="620" w:type="dxa"/>
            <w:vAlign w:val="bottom"/>
          </w:tcPr>
          <w:p>
            <w:pPr>
              <w:spacing w:after="0" w:line="133" w:lineRule="exact"/>
              <w:rPr>
                <w:sz w:val="20"/>
                <w:szCs w:val="20"/>
                <w:color w:val="auto"/>
              </w:rPr>
            </w:pPr>
            <w:r>
              <w:rPr>
                <w:rFonts w:ascii="Arial" w:cs="Arial" w:eastAsia="Arial" w:hAnsi="Arial"/>
                <w:sz w:val="13"/>
                <w:szCs w:val="13"/>
                <w:color w:val="auto"/>
              </w:rPr>
              <w:t>Name:</w:t>
            </w:r>
          </w:p>
        </w:tc>
        <w:tc>
          <w:tcPr>
            <w:tcW w:w="4120" w:type="dxa"/>
            <w:vAlign w:val="bottom"/>
          </w:tcPr>
          <w:p>
            <w:pPr>
              <w:spacing w:after="0" w:line="133" w:lineRule="exact"/>
              <w:rPr>
                <w:sz w:val="20"/>
                <w:szCs w:val="20"/>
                <w:color w:val="auto"/>
              </w:rPr>
            </w:pPr>
            <w:r>
              <w:rPr>
                <w:rFonts w:ascii="Arial" w:cs="Arial" w:eastAsia="Arial" w:hAnsi="Arial"/>
                <w:sz w:val="13"/>
                <w:szCs w:val="13"/>
                <w:color w:val="auto"/>
              </w:rPr>
              <w:t>Jennifer R. Kneale</w:t>
            </w:r>
          </w:p>
        </w:tc>
      </w:tr>
      <w:tr>
        <w:trPr>
          <w:trHeight w:val="151"/>
        </w:trPr>
        <w:tc>
          <w:tcPr>
            <w:tcW w:w="620" w:type="dxa"/>
            <w:vAlign w:val="bottom"/>
          </w:tcPr>
          <w:p>
            <w:pPr>
              <w:spacing w:after="0"/>
              <w:rPr>
                <w:sz w:val="20"/>
                <w:szCs w:val="20"/>
                <w:color w:val="auto"/>
              </w:rPr>
            </w:pPr>
            <w:r>
              <w:rPr>
                <w:rFonts w:ascii="Arial" w:cs="Arial" w:eastAsia="Arial" w:hAnsi="Arial"/>
                <w:sz w:val="13"/>
                <w:szCs w:val="13"/>
                <w:color w:val="auto"/>
              </w:rPr>
              <w:t>Title:</w:t>
            </w:r>
          </w:p>
        </w:tc>
        <w:tc>
          <w:tcPr>
            <w:tcW w:w="4120" w:type="dxa"/>
            <w:vAlign w:val="bottom"/>
          </w:tcPr>
          <w:p>
            <w:pPr>
              <w:spacing w:after="0"/>
              <w:rPr>
                <w:sz w:val="20"/>
                <w:szCs w:val="20"/>
                <w:color w:val="auto"/>
              </w:rPr>
            </w:pPr>
            <w:r>
              <w:rPr>
                <w:rFonts w:ascii="Arial" w:cs="Arial" w:eastAsia="Arial" w:hAnsi="Arial"/>
                <w:sz w:val="13"/>
                <w:szCs w:val="13"/>
                <w:color w:val="auto"/>
              </w:rPr>
              <w:t>Chief Financial Officer</w:t>
            </w:r>
          </w:p>
        </w:tc>
      </w:tr>
      <w:tr>
        <w:trPr>
          <w:trHeight w:val="151"/>
        </w:trPr>
        <w:tc>
          <w:tcPr>
            <w:tcW w:w="6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w w:val="87"/>
              </w:rPr>
              <w:t>of Targa Resources GP LLC, the general partner of Targa Resources Partners LP</w:t>
            </w:r>
          </w:p>
        </w:tc>
      </w:tr>
      <w:tr>
        <w:trPr>
          <w:trHeight w:val="158"/>
        </w:trPr>
        <w:tc>
          <w:tcPr>
            <w:tcW w:w="6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(Principal Financial Officer)</w:t>
            </w:r>
          </w:p>
        </w:tc>
      </w:tr>
    </w:tbl>
    <w:p>
      <w:pPr>
        <w:sectPr>
          <w:pgSz w:w="11900" w:h="16838" w:orient="portrait"/>
          <w:cols w:equalWidth="0" w:num="1">
            <w:col w:w="11485"/>
          </w:cols>
          <w:pgMar w:left="215" w:top="127" w:right="199"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auto"/>
        </w:rPr>
        <w:t>Exhibit 32.1</w:t>
      </w:r>
    </w:p>
    <w:p>
      <w:pPr>
        <w:spacing w:after="0" w:line="152"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CERTIFICATION OF CHIEF EXECUTIVE OFFICER PURSUANT TO</w:t>
      </w:r>
    </w:p>
    <w:p>
      <w:pPr>
        <w:spacing w:after="0" w:line="12"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18 U.S.C. SECTION 1350,</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AS ADOPTED PURSUANT TO</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44" w:lineRule="exact"/>
        <w:rPr>
          <w:sz w:val="20"/>
          <w:szCs w:val="20"/>
          <w:color w:val="auto"/>
        </w:rPr>
      </w:pPr>
    </w:p>
    <w:p>
      <w:pPr>
        <w:jc w:val="both"/>
        <w:ind w:left="5" w:right="20"/>
        <w:spacing w:after="0" w:line="248" w:lineRule="auto"/>
        <w:rPr>
          <w:sz w:val="20"/>
          <w:szCs w:val="20"/>
          <w:color w:val="auto"/>
        </w:rPr>
      </w:pPr>
      <w:r>
        <w:rPr>
          <w:rFonts w:ascii="Arial" w:cs="Arial" w:eastAsia="Arial" w:hAnsi="Arial"/>
          <w:sz w:val="13"/>
          <w:szCs w:val="13"/>
          <w:color w:val="auto"/>
        </w:rPr>
        <w:t>In connection with the Quarterly Report on Form 10-Q of Targa Resources Partners LP (the “Partnership”) for the three months ended March 31, 2019 as filed with the Securities and Exchange Commission on the date hereof (the “Report”), Joe Bob Perkins, as Chief Executive Officer of Targa Resources GP LLC, the general partner of the Partnership, hereby certifies, pursuant to 18 U.S.C. Section 1350, as adopted pursuant to Section 906 of the Sarbanes-Oxley Act of 2002, that, to his knowledge:</w:t>
      </w:r>
    </w:p>
    <w:p>
      <w:pPr>
        <w:spacing w:after="0" w:line="139" w:lineRule="exact"/>
        <w:rPr>
          <w:sz w:val="20"/>
          <w:szCs w:val="20"/>
          <w:color w:val="auto"/>
        </w:rPr>
      </w:pPr>
    </w:p>
    <w:p>
      <w:pPr>
        <w:ind w:left="185" w:hanging="185"/>
        <w:spacing w:after="0"/>
        <w:tabs>
          <w:tab w:leader="none" w:pos="185"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51" w:lineRule="exact"/>
        <w:rPr>
          <w:rFonts w:ascii="Arial" w:cs="Arial" w:eastAsia="Arial" w:hAnsi="Arial"/>
          <w:sz w:val="13"/>
          <w:szCs w:val="13"/>
          <w:color w:val="auto"/>
        </w:rPr>
      </w:pPr>
    </w:p>
    <w:p>
      <w:pPr>
        <w:ind w:left="185" w:hanging="185"/>
        <w:spacing w:after="0"/>
        <w:tabs>
          <w:tab w:leader="none" w:pos="185"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Partnership.</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158"/>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Joe Bob Perkins</w:t>
            </w:r>
          </w:p>
        </w:tc>
      </w:tr>
      <w:tr>
        <w:trPr>
          <w:trHeight w:val="133"/>
        </w:trPr>
        <w:tc>
          <w:tcPr>
            <w:tcW w:w="580" w:type="dxa"/>
            <w:vAlign w:val="bottom"/>
          </w:tcPr>
          <w:p>
            <w:pPr>
              <w:spacing w:after="0" w:line="133" w:lineRule="exact"/>
              <w:rPr>
                <w:sz w:val="20"/>
                <w:szCs w:val="20"/>
                <w:color w:val="auto"/>
              </w:rPr>
            </w:pPr>
            <w:r>
              <w:rPr>
                <w:rFonts w:ascii="Arial" w:cs="Arial" w:eastAsia="Arial" w:hAnsi="Arial"/>
                <w:sz w:val="13"/>
                <w:szCs w:val="13"/>
                <w:color w:val="auto"/>
              </w:rPr>
              <w:t>Name:</w:t>
            </w:r>
          </w:p>
        </w:tc>
        <w:tc>
          <w:tcPr>
            <w:tcW w:w="3820" w:type="dxa"/>
            <w:vAlign w:val="bottom"/>
          </w:tcPr>
          <w:p>
            <w:pPr>
              <w:spacing w:after="0" w:line="133" w:lineRule="exact"/>
              <w:rPr>
                <w:sz w:val="20"/>
                <w:szCs w:val="20"/>
                <w:color w:val="auto"/>
              </w:rPr>
            </w:pPr>
            <w:r>
              <w:rPr>
                <w:rFonts w:ascii="Arial" w:cs="Arial" w:eastAsia="Arial" w:hAnsi="Arial"/>
                <w:sz w:val="13"/>
                <w:szCs w:val="13"/>
                <w:color w:val="auto"/>
              </w:rPr>
              <w:t>Joe Bob Perkins</w:t>
            </w:r>
          </w:p>
        </w:tc>
      </w:tr>
      <w:tr>
        <w:trPr>
          <w:trHeight w:val="158"/>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820" w:type="dxa"/>
            <w:vAlign w:val="bottom"/>
          </w:tcPr>
          <w:p>
            <w:pPr>
              <w:spacing w:after="0"/>
              <w:rPr>
                <w:sz w:val="20"/>
                <w:szCs w:val="20"/>
                <w:color w:val="auto"/>
              </w:rPr>
            </w:pPr>
            <w:r>
              <w:rPr>
                <w:rFonts w:ascii="Arial" w:cs="Arial" w:eastAsia="Arial" w:hAnsi="Arial"/>
                <w:sz w:val="13"/>
                <w:szCs w:val="13"/>
                <w:color w:val="auto"/>
              </w:rPr>
              <w:t>Chief Executive Officer</w:t>
            </w:r>
          </w:p>
        </w:tc>
      </w:tr>
    </w:tbl>
    <w:p>
      <w:pPr>
        <w:ind w:left="5"/>
        <w:spacing w:after="0"/>
        <w:rPr>
          <w:sz w:val="20"/>
          <w:szCs w:val="20"/>
          <w:color w:val="auto"/>
        </w:rPr>
      </w:pPr>
      <w:r>
        <w:rPr>
          <w:rFonts w:ascii="Arial" w:cs="Arial" w:eastAsia="Arial" w:hAnsi="Arial"/>
          <w:sz w:val="13"/>
          <w:szCs w:val="13"/>
          <w:color w:val="auto"/>
        </w:rPr>
        <w:t>of Targa Resources GP LLC, the general partner of Targa Resources Partners LP</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3"/>
          <w:szCs w:val="13"/>
          <w:color w:val="auto"/>
        </w:rPr>
        <w:t>Date: May 8, 2019</w:t>
      </w:r>
    </w:p>
    <w:p>
      <w:pPr>
        <w:spacing w:after="0" w:line="152" w:lineRule="exact"/>
        <w:rPr>
          <w:sz w:val="20"/>
          <w:szCs w:val="20"/>
          <w:color w:val="auto"/>
        </w:rPr>
      </w:pPr>
    </w:p>
    <w:p>
      <w:pPr>
        <w:ind w:left="5" w:right="20"/>
        <w:spacing w:after="0" w:line="344"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Partnership and will be retained by the Partnership and furnished to the Securities and Exchange Commission or its staff upon request.</w:t>
      </w:r>
    </w:p>
    <w:p>
      <w:pPr>
        <w:sectPr>
          <w:pgSz w:w="11900" w:h="16838" w:orient="portrait"/>
          <w:cols w:equalWidth="0" w:num="1">
            <w:col w:w="11485"/>
          </w:cols>
          <w:pgMar w:left="215" w:top="277" w:right="199" w:bottom="1440" w:gutter="0" w:footer="0" w:header="0"/>
        </w:sectPr>
      </w:pPr>
    </w:p>
    <w:bookmarkStart w:id="53" w:name="page54"/>
    <w:bookmarkEnd w:id="53"/>
    <w:p>
      <w:pPr>
        <w:jc w:val="right"/>
        <w:spacing w:after="0"/>
        <w:rPr>
          <w:sz w:val="20"/>
          <w:szCs w:val="20"/>
          <w:color w:val="auto"/>
        </w:rPr>
      </w:pPr>
      <w:r>
        <w:rPr>
          <w:rFonts w:ascii="Arial" w:cs="Arial" w:eastAsia="Arial" w:hAnsi="Arial"/>
          <w:sz w:val="13"/>
          <w:szCs w:val="13"/>
          <w:b w:val="1"/>
          <w:bCs w:val="1"/>
          <w:color w:val="auto"/>
        </w:rPr>
        <w:t>Exhibit 32.2</w:t>
      </w:r>
    </w:p>
    <w:p>
      <w:pPr>
        <w:spacing w:after="0" w:line="152"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CERTIFICATION OF CHIEF FINANCIAL OFFICER PURSUANT TO</w:t>
      </w:r>
    </w:p>
    <w:p>
      <w:pPr>
        <w:spacing w:after="0" w:line="12"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18 U.S.C. SECTION 1350,</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AS ADOPTED PURSUANT TO</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44" w:lineRule="exact"/>
        <w:rPr>
          <w:sz w:val="20"/>
          <w:szCs w:val="20"/>
          <w:color w:val="auto"/>
        </w:rPr>
      </w:pPr>
    </w:p>
    <w:p>
      <w:pPr>
        <w:jc w:val="both"/>
        <w:ind w:left="5"/>
        <w:spacing w:after="0" w:line="248" w:lineRule="auto"/>
        <w:rPr>
          <w:sz w:val="20"/>
          <w:szCs w:val="20"/>
          <w:color w:val="auto"/>
        </w:rPr>
      </w:pPr>
      <w:r>
        <w:rPr>
          <w:rFonts w:ascii="Arial" w:cs="Arial" w:eastAsia="Arial" w:hAnsi="Arial"/>
          <w:sz w:val="13"/>
          <w:szCs w:val="13"/>
          <w:color w:val="auto"/>
        </w:rPr>
        <w:t>In connection with the Quarterly Report on Form 10-Q of Targa Resources Partners LP (the “Partnership”) for the three months ended March 31, 2019 as filed with the Securities and Exchange Commission on the date hereof (the “Report”), Jennifer R. Kneale, as Chief Financial Officer of Targa Resources GP LLC, the general partner of the Partnership, hereby certifies, pursuant to 18 U.S.C. Section 1350, as adopted pursuant to Section 906 of the Sarbanes-Oxley Act of 2002, that, to her knowledge:</w:t>
      </w:r>
    </w:p>
    <w:p>
      <w:pPr>
        <w:spacing w:after="0" w:line="139" w:lineRule="exact"/>
        <w:rPr>
          <w:sz w:val="20"/>
          <w:szCs w:val="20"/>
          <w:color w:val="auto"/>
        </w:rPr>
      </w:pPr>
    </w:p>
    <w:p>
      <w:pPr>
        <w:ind w:left="185" w:hanging="185"/>
        <w:spacing w:after="0"/>
        <w:tabs>
          <w:tab w:leader="none" w:pos="185"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51" w:lineRule="exact"/>
        <w:rPr>
          <w:rFonts w:ascii="Arial" w:cs="Arial" w:eastAsia="Arial" w:hAnsi="Arial"/>
          <w:sz w:val="13"/>
          <w:szCs w:val="13"/>
          <w:color w:val="auto"/>
        </w:rPr>
      </w:pPr>
    </w:p>
    <w:p>
      <w:pPr>
        <w:ind w:left="185" w:hanging="185"/>
        <w:spacing w:after="0"/>
        <w:tabs>
          <w:tab w:leader="none" w:pos="185"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Partnership.</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158"/>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Jennifer R. Kneale</w:t>
            </w:r>
          </w:p>
        </w:tc>
      </w:tr>
      <w:tr>
        <w:trPr>
          <w:trHeight w:val="133"/>
        </w:trPr>
        <w:tc>
          <w:tcPr>
            <w:tcW w:w="580" w:type="dxa"/>
            <w:vAlign w:val="bottom"/>
          </w:tcPr>
          <w:p>
            <w:pPr>
              <w:spacing w:after="0" w:line="133" w:lineRule="exact"/>
              <w:rPr>
                <w:sz w:val="20"/>
                <w:szCs w:val="20"/>
                <w:color w:val="auto"/>
              </w:rPr>
            </w:pPr>
            <w:r>
              <w:rPr>
                <w:rFonts w:ascii="Arial" w:cs="Arial" w:eastAsia="Arial" w:hAnsi="Arial"/>
                <w:sz w:val="13"/>
                <w:szCs w:val="13"/>
                <w:color w:val="auto"/>
              </w:rPr>
              <w:t>Name:</w:t>
            </w:r>
          </w:p>
        </w:tc>
        <w:tc>
          <w:tcPr>
            <w:tcW w:w="3820" w:type="dxa"/>
            <w:vAlign w:val="bottom"/>
          </w:tcPr>
          <w:p>
            <w:pPr>
              <w:spacing w:after="0" w:line="133" w:lineRule="exact"/>
              <w:rPr>
                <w:sz w:val="20"/>
                <w:szCs w:val="20"/>
                <w:color w:val="auto"/>
              </w:rPr>
            </w:pPr>
            <w:r>
              <w:rPr>
                <w:rFonts w:ascii="Arial" w:cs="Arial" w:eastAsia="Arial" w:hAnsi="Arial"/>
                <w:sz w:val="13"/>
                <w:szCs w:val="13"/>
                <w:color w:val="auto"/>
              </w:rPr>
              <w:t>Jennifer R. Kneale</w:t>
            </w:r>
          </w:p>
        </w:tc>
      </w:tr>
      <w:tr>
        <w:trPr>
          <w:trHeight w:val="158"/>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820" w:type="dxa"/>
            <w:vAlign w:val="bottom"/>
          </w:tcPr>
          <w:p>
            <w:pPr>
              <w:spacing w:after="0"/>
              <w:rPr>
                <w:sz w:val="20"/>
                <w:szCs w:val="20"/>
                <w:color w:val="auto"/>
              </w:rPr>
            </w:pPr>
            <w:r>
              <w:rPr>
                <w:rFonts w:ascii="Arial" w:cs="Arial" w:eastAsia="Arial" w:hAnsi="Arial"/>
                <w:sz w:val="13"/>
                <w:szCs w:val="13"/>
                <w:color w:val="auto"/>
              </w:rPr>
              <w:t>Chief Financial Officer</w:t>
            </w:r>
          </w:p>
        </w:tc>
      </w:tr>
    </w:tbl>
    <w:p>
      <w:pPr>
        <w:ind w:left="5"/>
        <w:spacing w:after="0"/>
        <w:rPr>
          <w:sz w:val="20"/>
          <w:szCs w:val="20"/>
          <w:color w:val="auto"/>
        </w:rPr>
      </w:pPr>
      <w:r>
        <w:rPr>
          <w:rFonts w:ascii="Arial" w:cs="Arial" w:eastAsia="Arial" w:hAnsi="Arial"/>
          <w:sz w:val="13"/>
          <w:szCs w:val="13"/>
          <w:color w:val="auto"/>
        </w:rPr>
        <w:t>of Targa Resources GP LLC, the general partner of Targa Resources Partners LP</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3"/>
          <w:szCs w:val="13"/>
          <w:color w:val="auto"/>
        </w:rPr>
        <w:t>Date: May 8, 2019</w:t>
      </w:r>
    </w:p>
    <w:p>
      <w:pPr>
        <w:spacing w:after="0" w:line="152" w:lineRule="exact"/>
        <w:rPr>
          <w:sz w:val="20"/>
          <w:szCs w:val="20"/>
          <w:color w:val="auto"/>
        </w:rPr>
      </w:pPr>
    </w:p>
    <w:p>
      <w:pPr>
        <w:ind w:left="5" w:right="20"/>
        <w:spacing w:after="0" w:line="344"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Partnership and will be retained by the Partnership and furnished to the Securities and Exchange Commission or its staff upon request.</w:t>
      </w:r>
    </w:p>
    <w:sectPr>
      <w:pgSz w:w="11900" w:h="16838" w:orient="portrait"/>
      <w:cols w:equalWidth="0" w:num="1">
        <w:col w:w="11485"/>
      </w:cols>
      <w:pgMar w:left="215" w:top="27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lvl w:ilvl="1">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upperLetter"/>
      <w:start w:val="104"/>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84" Type="http://schemas.openxmlformats.org/officeDocument/2006/relationships/hyperlink" Target="http://www.sec.gov/Archives/edgar/data/1379661/000095013406021759/h40954exv3w2.htm" TargetMode="External"/><Relationship Id="rId85" Type="http://schemas.openxmlformats.org/officeDocument/2006/relationships/hyperlink" Target="http://www.sec.gov/Archives/edgar/data/1379661/000095012907000126/h40954a3exv3w3.htm" TargetMode="External"/><Relationship Id="rId86" Type="http://schemas.openxmlformats.org/officeDocument/2006/relationships/hyperlink" Target="http://www.sec.gov/Archives/edgar/data/1379661/000119312516743859/d261379dex31.htm" TargetMode="External"/><Relationship Id="rId87" Type="http://schemas.openxmlformats.org/officeDocument/2006/relationships/hyperlink" Target="http://www.sec.gov/Archives/edgar/data/1379661/000119312517367442/d507244dex31.htm" TargetMode="External"/><Relationship Id="rId88" Type="http://schemas.openxmlformats.org/officeDocument/2006/relationships/hyperlink" Target="http://www.sec.gov/Archives/edgar/data/1379661/000095012907000126/h40954a3exv3w4.htm" TargetMode="External"/><Relationship Id="rId89" Type="http://schemas.openxmlformats.org/officeDocument/2006/relationships/hyperlink" Target="http://www.sec.gov/Archives/edgar/data/1379661/000119312515344443/d55311dex31.htm" TargetMode="External"/><Relationship Id="rId90" Type="http://schemas.openxmlformats.org/officeDocument/2006/relationships/hyperlink" Target="http://www.sec.gov/Archives/edgar/data/1379661/000119312519014870/d689562dex41.htm" TargetMode="External"/><Relationship Id="rId91" Type="http://schemas.openxmlformats.org/officeDocument/2006/relationships/hyperlink" Target="http://www.sec.gov/Archives/edgar/data/1379661/000119312519014870/d689562dex42.htm" TargetMode="External"/><Relationship Id="rId92" Type="http://schemas.openxmlformats.org/officeDocument/2006/relationships/hyperlink" Target="http://www.sec.gov/Archives/edgar/data/1379661/000119312519014870/d689562dex43.htm" TargetMode="External"/><Relationship Id="rId93" Type="http://schemas.openxmlformats.org/officeDocument/2006/relationships/hyperlink" Target="http://www.sec.gov/Archives/edgar/data/1379661/000119312519009886/d683680dex101.htm" TargetMode="External"/><Relationship Id="rId94" Type="http://schemas.openxmlformats.org/officeDocument/2006/relationships/hyperlink" Target="http://www.sec.gov/Archives/edgar/data/1379661/000119312519014081/d654997dex101.htm" TargetMode="External"/><Relationship Id="rId95" Type="http://schemas.openxmlformats.org/officeDocument/2006/relationships/hyperlink" Target="http://www.sec.gov/Archives/edgar/data/1379661/000119312519062771/d69360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2019-12-28T12:42:38Z</dcterms:created>
  <dcterms:modified xsi:type="dcterms:W3CDTF">2019-12-28T12:42:38Z</dcterms:modified>
</cp:coreProperties>
</file>