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20596d424b5.htm"/>
      <w:bookmarkStart w:id="1" w:name="ksd20596d424b5"/>
      <w:bookmarkEnd w:id="0"/>
      <w:bookmarkEnd w:id="1"/>
      <w:r>
        <w:rPr>
          <w:rFonts w:ascii="Times New Roman" w:hAnsi="Times New Roman"/>
          <w:b/>
          <w:sz w:val="20"/>
        </w:rPr>
        <w:t>Filed pursuant to Rule 424(b)(5)</w:t>
        <w:br/>
        <w:t xml:space="preserve">Registration No. 333-286012 </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March 21,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638175"/>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40"/>
        </w:rPr>
      </w:pPr>
      <w:r>
        <w:rPr>
          <w:rFonts w:ascii="Times New Roman" w:hAnsi="Times New Roman"/>
          <w:b/>
          <w:sz w:val="40"/>
        </w:rPr>
        <w:t xml:space="preserve">Targa Resources Corp. </w:t>
      </w:r>
    </w:p>
    <w:p>
      <w:pPr>
        <w:pStyle w:val="TextBody"/>
        <w:bidi w:val="0"/>
        <w:spacing w:before="160" w:after="0"/>
        <w:jc w:val="center"/>
        <w:rPr>
          <w:rFonts w:ascii="Times New Roman" w:hAnsi="Times New Roman"/>
          <w:b/>
          <w:sz w:val="24"/>
        </w:rPr>
      </w:pPr>
      <w:r>
        <w:rPr>
          <w:rFonts w:ascii="Times New Roman" w:hAnsi="Times New Roman"/>
          <w:b/>
          <w:sz w:val="24"/>
        </w:rPr>
        <w:t xml:space="preserve">$750,000,000 4.350% Senior Notes due 2031 </w:t>
      </w:r>
    </w:p>
    <w:p>
      <w:pPr>
        <w:pStyle w:val="TextBody"/>
        <w:bidi w:val="0"/>
        <w:spacing w:before="160" w:after="0"/>
        <w:jc w:val="center"/>
        <w:rPr>
          <w:rFonts w:ascii="Times New Roman" w:hAnsi="Times New Roman"/>
          <w:b/>
          <w:sz w:val="24"/>
        </w:rPr>
      </w:pPr>
      <w:r>
        <w:rPr>
          <w:rFonts w:ascii="Times New Roman" w:hAnsi="Times New Roman"/>
          <w:b/>
          <w:sz w:val="24"/>
        </w:rPr>
        <w:t xml:space="preserve">$750,000,000 6.050% Senior Notes due 2056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8"/>
        </w:rPr>
      </w:pPr>
      <w:r>
        <w:rPr>
          <w:rFonts w:ascii="Times New Roman" w:hAnsi="Times New Roman"/>
          <w:sz w:val="18"/>
        </w:rPr>
        <w:t xml:space="preserve">We are offering $750,000,000 aggregate principal amount of our 4.350% Senior Notes due 2031 (the “2031 notes”) and $750,000,000 aggregate principal amount of our 6.050% Senior Notes due 2056 (the “2056 notes”). In this prospectus supplement, the term “notes” collectively refers to the 2031 notes and the 2056 notes. </w:t>
      </w:r>
    </w:p>
    <w:p>
      <w:pPr>
        <w:pStyle w:val="TextBody"/>
        <w:bidi w:val="0"/>
        <w:spacing w:before="80" w:after="0"/>
        <w:jc w:val="left"/>
        <w:rPr>
          <w:rFonts w:ascii="Times New Roman" w:hAnsi="Times New Roman"/>
          <w:sz w:val="18"/>
        </w:rPr>
      </w:pPr>
      <w:r>
        <w:rPr>
          <w:rFonts w:ascii="Times New Roman" w:hAnsi="Times New Roman"/>
          <w:sz w:val="18"/>
        </w:rPr>
        <w:t xml:space="preserve">The 2031 notes will bear interest at the rate of 4.350% per year and will mature on April 15, 2031. The 2056 notes will bear interest at the rate of 6.050% per year and will mature on May 15, 2056. Interest on the 2031 notes will be payable semi-annually on April 15 and October 15 of each year, beginning on October 15, 2026. Interest on the 2056 notes will be payable semi-annually on May 15 and November 15 of each year, beginning on November 15, 2026. </w:t>
      </w:r>
    </w:p>
    <w:p>
      <w:pPr>
        <w:pStyle w:val="TextBody"/>
        <w:bidi w:val="0"/>
        <w:spacing w:before="80" w:after="0"/>
        <w:jc w:val="left"/>
        <w:rPr>
          <w:rFonts w:ascii="Times New Roman" w:hAnsi="Times New Roman"/>
          <w:sz w:val="18"/>
        </w:rPr>
      </w:pPr>
      <w:r>
        <w:rPr>
          <w:rFonts w:ascii="Times New Roman" w:hAnsi="Times New Roman"/>
          <w:sz w:val="18"/>
        </w:rPr>
        <w:t>We may redeem some or all of each series of the notes at our option at any time and from time to time prior to their maturity at the applicable redemption prices set forth in this prospectus supplement, plus accrued and unpaid interest. Please read the section entitled “</w:t>
      </w:r>
      <w:r>
        <w:rPr>
          <w:rFonts w:ascii="Times New Roman" w:hAnsi="Times New Roman"/>
          <w:i/>
          <w:sz w:val="18"/>
        </w:rPr>
        <w:t>Description of the Notes—Optional Redemption.</w:t>
      </w:r>
      <w:r>
        <w:rPr>
          <w:rFonts w:ascii="Times New Roman" w:hAnsi="Times New Roman"/>
          <w:sz w:val="18"/>
        </w:rPr>
        <w:t xml:space="preserve">” There will be no mandatory redemption or sinking fund payments for the notes or requirement to repurchase the notes at the option of the holders. </w:t>
      </w:r>
    </w:p>
    <w:p>
      <w:pPr>
        <w:pStyle w:val="TextBody"/>
        <w:bidi w:val="0"/>
        <w:spacing w:before="80" w:after="0"/>
        <w:jc w:val="left"/>
        <w:rPr>
          <w:rFonts w:ascii="Times New Roman" w:hAnsi="Times New Roman"/>
          <w:sz w:val="18"/>
        </w:rPr>
      </w:pPr>
      <w:r>
        <w:rPr>
          <w:rFonts w:ascii="Times New Roman" w:hAnsi="Times New Roman"/>
          <w:sz w:val="18"/>
        </w:rPr>
        <w:t xml:space="preserve">We expect to use the net proceeds from this offering for general corporate purposes, including to repay borrowings under our unsecured commercial paper note program (the “Commercial Paper Program”), to repay other indebtedness, to repurchase or redeem securities or to fund capital expenditures, additions to working capital or investments in our subsidiaries. </w:t>
      </w:r>
    </w:p>
    <w:p>
      <w:pPr>
        <w:pStyle w:val="TextBody"/>
        <w:bidi w:val="0"/>
        <w:spacing w:before="80" w:after="0"/>
        <w:jc w:val="left"/>
        <w:rPr>
          <w:rFonts w:ascii="Times New Roman" w:hAnsi="Times New Roman"/>
          <w:sz w:val="18"/>
        </w:rPr>
      </w:pPr>
      <w:r>
        <w:rPr>
          <w:rFonts w:ascii="Times New Roman" w:hAnsi="Times New Roman"/>
          <w:sz w:val="18"/>
        </w:rPr>
        <w:t xml:space="preserve">The notes will be our senior unsecured obligations and will rank equally in right of payment with our current and future unsecured senior debt, including debt under our revolving credit facility and the Commercial Paper Program, and senior in right of payment to any future subordinated debt that we may incur. The notes will initially be fully and unconditionally guaranteed, jointly and severally, on a senior unsecured basis by certain of our subsidiaries (each, a “guarantor”). Each guarantee will rank equally in right of payment with all of such guarantor’s existing and future unsecured senior debt and other unsecured guarantees of senior debt. The notes and the guarantees will be effectively junior to any secured indebtedness of ours or any guarantor to the extent of the value of the assets securing such indebtedness and structurally subordinated to all indebtedness and other obligations of our subsidiaries that do not guarantee the notes. </w:t>
      </w:r>
    </w:p>
    <w:p>
      <w:pPr>
        <w:pStyle w:val="TextBody"/>
        <w:bidi w:val="0"/>
        <w:spacing w:before="80" w:after="0"/>
        <w:jc w:val="left"/>
        <w:rPr>
          <w:rFonts w:ascii="Times New Roman" w:hAnsi="Times New Roman"/>
          <w:sz w:val="18"/>
        </w:rPr>
      </w:pPr>
      <w:r>
        <w:rPr>
          <w:rFonts w:ascii="Times New Roman" w:hAnsi="Times New Roman"/>
          <w:sz w:val="18"/>
        </w:rPr>
        <w:t xml:space="preserve">Each series of the notes is a new issue of securities with no established trading market. We do not intend to apply for the listing of the notes on any securities exchange or for the quotation of the notes on any automated dealer quotation system. </w:t>
      </w:r>
    </w:p>
    <w:p>
      <w:pPr>
        <w:pStyle w:val="TextBody"/>
        <w:bidi w:val="0"/>
        <w:spacing w:before="80" w:after="0"/>
        <w:jc w:val="left"/>
        <w:rPr>
          <w:rFonts w:ascii="Times New Roman" w:hAnsi="Times New Roman"/>
          <w:sz w:val="18"/>
        </w:rPr>
      </w:pPr>
      <w:r>
        <w:rPr>
          <w:rFonts w:ascii="Times New Roman" w:hAnsi="Times New Roman"/>
          <w:sz w:val="18"/>
        </w:rPr>
        <w:t xml:space="preserve">This prospectus supplement and the accompanying prospectus are not intended to constitute an offer to, and the notes should not be purchased, held or otherwise acquired by, a “specified foreign entity” as defined in Section 7701(a)(51)(B) of the Internal Revenue Code of 1986, as amended (an “SFE”). By purchasing the notes, any investor in the notes (including all affiliated entities that participate in such purchase) will be deemed to represent and warrant to us that it is not, and will not be, for its taxable year that includes the date of the original issuance of the notes, an SFE. </w:t>
      </w:r>
    </w:p>
    <w:p>
      <w:pPr>
        <w:pStyle w:val="TextBody"/>
        <w:bidi w:val="0"/>
        <w:spacing w:before="80" w:after="0"/>
        <w:jc w:val="left"/>
        <w:rPr>
          <w:rFonts w:ascii="Times New Roman" w:hAnsi="Times New Roman"/>
          <w:sz w:val="18"/>
        </w:rPr>
      </w:pPr>
      <w:r>
        <w:rPr>
          <w:rFonts w:ascii="Times New Roman" w:hAnsi="Times New Roman"/>
          <w:sz w:val="18"/>
        </w:rPr>
        <w:t xml:space="preserve">Neither the U.S. Securities and Exchange Commission (the “SEC” or the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pPr>
      <w:r>
        <w:rPr>
          <w:rFonts w:ascii="Times New Roman" w:hAnsi="Times New Roman"/>
          <w:b/>
          <w:sz w:val="20"/>
        </w:rPr>
        <w:t>Investing in the notes involves risks. Please read “</w:t>
      </w:r>
      <w:hyperlink w:anchor="supptx20596_2">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 xml:space="preserve">beginning on page S-5 of this prospectus supplement and on page 6 of the accompanying base prospectus.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60"/>
        <w:gridCol w:w="212"/>
        <w:gridCol w:w="84"/>
        <w:gridCol w:w="1014"/>
        <w:gridCol w:w="276"/>
        <w:gridCol w:w="159"/>
        <w:gridCol w:w="140"/>
        <w:gridCol w:w="1316"/>
        <w:gridCol w:w="60"/>
        <w:gridCol w:w="212"/>
        <w:gridCol w:w="84"/>
        <w:gridCol w:w="1014"/>
        <w:gridCol w:w="276"/>
        <w:gridCol w:w="159"/>
        <w:gridCol w:w="140"/>
        <w:gridCol w:w="1316"/>
        <w:gridCol w:w="66"/>
      </w:tblGrid>
      <w:tr>
        <w:trPr/>
        <w:tc>
          <w:tcPr>
            <w:tcW w:w="28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2031 Note</w:t>
            </w:r>
          </w:p>
        </w:tc>
        <w:tc>
          <w:tcPr>
            <w:tcW w:w="2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2031</w:t>
              <w:br/>
              <w:t>Notes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2056 Note</w:t>
            </w:r>
          </w:p>
        </w:tc>
        <w:tc>
          <w:tcPr>
            <w:tcW w:w="2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2056</w:t>
              <w:br/>
              <w:t>Notes</w:t>
            </w:r>
          </w:p>
        </w:tc>
        <w:tc>
          <w:tcPr>
            <w:tcW w:w="66"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 (1)</w:t>
            </w:r>
          </w:p>
        </w:tc>
        <w:tc>
          <w:tcPr>
            <w:tcW w:w="21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99.812</w:t>
            </w:r>
          </w:p>
        </w:tc>
        <w:tc>
          <w:tcPr>
            <w:tcW w:w="2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748,590,000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99.975</w:t>
            </w:r>
          </w:p>
        </w:tc>
        <w:tc>
          <w:tcPr>
            <w:tcW w:w="2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749,812,500</w:t>
            </w:r>
          </w:p>
        </w:tc>
        <w:tc>
          <w:tcPr>
            <w:tcW w:w="66" w:type="dxa"/>
            <w:tcBorders/>
            <w:shd w:fill="CCEEFF" w:val="clear"/>
            <w:vAlign w:val="bottom"/>
          </w:tcPr>
          <w:p>
            <w:pPr>
              <w:pStyle w:val="TableContents"/>
              <w:bidi w:val="0"/>
              <w:spacing w:before="0" w:after="283"/>
              <w:jc w:val="left"/>
              <w:rPr/>
            </w:pPr>
            <w:r>
              <w:rPr/>
              <w:t> </w:t>
            </w:r>
          </w:p>
        </w:tc>
      </w:tr>
      <w:tr>
        <w:trPr/>
        <w:tc>
          <w:tcPr>
            <w:tcW w:w="2860"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w:t>
            </w:r>
          </w:p>
        </w:tc>
        <w:tc>
          <w:tcPr>
            <w:tcW w:w="21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0.600</w:t>
            </w:r>
          </w:p>
        </w:tc>
        <w:tc>
          <w:tcPr>
            <w:tcW w:w="2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6" w:type="dxa"/>
            <w:tcBorders/>
            <w:vAlign w:val="bottom"/>
          </w:tcPr>
          <w:p>
            <w:pPr>
              <w:pStyle w:val="TableContents"/>
              <w:bidi w:val="0"/>
              <w:spacing w:before="0" w:after="283"/>
              <w:jc w:val="right"/>
              <w:rPr/>
            </w:pPr>
            <w:r>
              <w:rPr/>
              <w:t>4,500,000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0.875</w:t>
            </w:r>
          </w:p>
        </w:tc>
        <w:tc>
          <w:tcPr>
            <w:tcW w:w="2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6" w:type="dxa"/>
            <w:tcBorders/>
            <w:vAlign w:val="bottom"/>
          </w:tcPr>
          <w:p>
            <w:pPr>
              <w:pStyle w:val="TableContents"/>
              <w:bidi w:val="0"/>
              <w:spacing w:before="0" w:after="283"/>
              <w:jc w:val="right"/>
              <w:rPr/>
            </w:pPr>
            <w:r>
              <w:rPr/>
              <w:t>6,562,500</w:t>
            </w:r>
          </w:p>
        </w:tc>
        <w:tc>
          <w:tcPr>
            <w:tcW w:w="66"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Targa Resources Corp. (before expenses)</w:t>
            </w:r>
          </w:p>
        </w:tc>
        <w:tc>
          <w:tcPr>
            <w:tcW w:w="21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99.212</w:t>
            </w:r>
          </w:p>
        </w:tc>
        <w:tc>
          <w:tcPr>
            <w:tcW w:w="2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744,090,000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99.100</w:t>
            </w:r>
          </w:p>
        </w:tc>
        <w:tc>
          <w:tcPr>
            <w:tcW w:w="2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743,250,000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from March 2, 2026, if any. </w:t>
            </w:r>
          </w:p>
        </w:tc>
      </w:tr>
    </w:tbl>
    <w:p>
      <w:pPr>
        <w:pStyle w:val="TextBody"/>
        <w:bidi w:val="0"/>
        <w:spacing w:before="80" w:after="0"/>
        <w:jc w:val="left"/>
        <w:rPr>
          <w:rFonts w:ascii="Times New Roman" w:hAnsi="Times New Roman"/>
          <w:sz w:val="18"/>
        </w:rPr>
      </w:pPr>
      <w:r>
        <w:rPr>
          <w:rFonts w:ascii="Times New Roman" w:hAnsi="Times New Roman"/>
          <w:sz w:val="18"/>
        </w:rPr>
        <w:t xml:space="preserve">The underwriters expect to deliver the notes in registered book-entry form only through the facilities of The Depository Trust Company, including Clearstream Banking, </w:t>
      </w:r>
      <w:r>
        <w:rPr>
          <w:rFonts w:ascii="Times New Roman" w:hAnsi="Times New Roman"/>
          <w:i/>
          <w:sz w:val="18"/>
        </w:rPr>
        <w:t>société anonyme</w:t>
      </w:r>
      <w:r>
        <w:rPr>
          <w:rFonts w:ascii="Times New Roman" w:hAnsi="Times New Roman"/>
          <w:sz w:val="18"/>
        </w:rPr>
        <w:t xml:space="preserve">, Luxembourg and Euroclear Bank NV/SA, on or about March 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i/>
          <w:sz w:val="18"/>
        </w:rPr>
      </w:pPr>
      <w:r>
        <w:rPr>
          <w:rFonts w:ascii="Times New Roman" w:hAnsi="Times New Roman"/>
          <w:i/>
          <w:sz w:val="18"/>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6"/>
        <w:gridCol w:w="100"/>
        <w:gridCol w:w="3783"/>
        <w:gridCol w:w="100"/>
        <w:gridCol w:w="2510"/>
        <w:gridCol w:w="100"/>
        <w:gridCol w:w="2306"/>
      </w:tblGrid>
      <w:tr>
        <w:trPr/>
        <w:tc>
          <w:tcPr>
            <w:tcW w:w="130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1306" w:type="dxa"/>
            <w:tcBorders/>
          </w:tcPr>
          <w:p>
            <w:pPr>
              <w:pStyle w:val="TableContents"/>
              <w:bidi w:val="0"/>
              <w:spacing w:before="0" w:after="283"/>
              <w:jc w:val="left"/>
              <w:rPr>
                <w:b/>
              </w:rPr>
            </w:pPr>
            <w:r>
              <w:rPr>
                <w:b/>
              </w:rPr>
              <w:t>MUFG</w:t>
            </w:r>
          </w:p>
        </w:tc>
        <w:tc>
          <w:tcPr>
            <w:tcW w:w="100" w:type="dxa"/>
            <w:tcBorders/>
            <w:vAlign w:val="bottom"/>
          </w:tcPr>
          <w:p>
            <w:pPr>
              <w:pStyle w:val="TableContents"/>
              <w:bidi w:val="0"/>
              <w:spacing w:before="0" w:after="283"/>
              <w:jc w:val="left"/>
              <w:rPr/>
            </w:pPr>
            <w:r>
              <w:rPr/>
              <w:t> </w:t>
            </w:r>
          </w:p>
        </w:tc>
        <w:tc>
          <w:tcPr>
            <w:tcW w:w="3783" w:type="dxa"/>
            <w:tcBorders/>
          </w:tcPr>
          <w:p>
            <w:pPr>
              <w:pStyle w:val="TableContents"/>
              <w:bidi w:val="0"/>
              <w:spacing w:before="0" w:after="283"/>
              <w:jc w:val="center"/>
              <w:rPr>
                <w:b/>
              </w:rPr>
            </w:pPr>
            <w:r>
              <w:rPr>
                <w:b/>
              </w:rPr>
              <w:t>PNC Capital Markets LLC</w:t>
            </w:r>
          </w:p>
        </w:tc>
        <w:tc>
          <w:tcPr>
            <w:tcW w:w="100" w:type="dxa"/>
            <w:tcBorders/>
            <w:vAlign w:val="bottom"/>
          </w:tcPr>
          <w:p>
            <w:pPr>
              <w:pStyle w:val="TableContents"/>
              <w:bidi w:val="0"/>
              <w:spacing w:before="0" w:after="283"/>
              <w:jc w:val="left"/>
              <w:rPr/>
            </w:pPr>
            <w:r>
              <w:rPr/>
              <w:t> </w:t>
            </w:r>
          </w:p>
        </w:tc>
        <w:tc>
          <w:tcPr>
            <w:tcW w:w="2510" w:type="dxa"/>
            <w:tcBorders/>
            <w:vAlign w:val="bottom"/>
          </w:tcPr>
          <w:p>
            <w:pPr>
              <w:pStyle w:val="TableContents"/>
              <w:bidi w:val="0"/>
              <w:spacing w:before="0" w:after="283"/>
              <w:jc w:val="center"/>
              <w:rPr>
                <w:b/>
              </w:rPr>
            </w:pPr>
            <w:r>
              <w:rPr>
                <w:b/>
              </w:rPr>
              <w:t>TD Securities</w:t>
            </w:r>
          </w:p>
        </w:tc>
        <w:tc>
          <w:tcPr>
            <w:tcW w:w="100" w:type="dxa"/>
            <w:tcBorders/>
            <w:vAlign w:val="bottom"/>
          </w:tcPr>
          <w:p>
            <w:pPr>
              <w:pStyle w:val="TableContents"/>
              <w:bidi w:val="0"/>
              <w:spacing w:before="0" w:after="283"/>
              <w:jc w:val="left"/>
              <w:rPr/>
            </w:pPr>
            <w:r>
              <w:rPr/>
              <w:t> </w:t>
            </w:r>
          </w:p>
        </w:tc>
        <w:tc>
          <w:tcPr>
            <w:tcW w:w="2306" w:type="dxa"/>
            <w:tcBorders/>
            <w:vAlign w:val="bottom"/>
          </w:tcPr>
          <w:p>
            <w:pPr>
              <w:pStyle w:val="TableContents"/>
              <w:bidi w:val="0"/>
              <w:spacing w:before="0" w:after="283"/>
              <w:jc w:val="right"/>
              <w:rPr>
                <w:b/>
              </w:rPr>
            </w:pPr>
            <w:r>
              <w:rPr>
                <w:b/>
              </w:rPr>
              <w:t>Wells Fargo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102"/>
        <w:gridCol w:w="3062"/>
        <w:gridCol w:w="102"/>
        <w:gridCol w:w="1939"/>
        <w:gridCol w:w="101"/>
        <w:gridCol w:w="2144"/>
        <w:gridCol w:w="102"/>
        <w:gridCol w:w="816"/>
      </w:tblGrid>
      <w:tr>
        <w:trPr/>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BofA Securities</w:t>
            </w:r>
          </w:p>
        </w:tc>
        <w:tc>
          <w:tcPr>
            <w:tcW w:w="1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center"/>
              <w:rPr>
                <w:b/>
              </w:rPr>
            </w:pPr>
            <w:r>
              <w:rPr>
                <w:b/>
              </w:rPr>
              <w:t>Capital One Securities</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b/>
              </w:rPr>
            </w:pPr>
            <w:r>
              <w:rPr>
                <w:b/>
              </w:rPr>
              <w:t>Citigroup</w:t>
            </w:r>
          </w:p>
        </w:tc>
        <w:tc>
          <w:tcPr>
            <w:tcW w:w="101" w:type="dxa"/>
            <w:tcBorders/>
            <w:vAlign w:val="bottom"/>
          </w:tcPr>
          <w:p>
            <w:pPr>
              <w:pStyle w:val="TableContents"/>
              <w:bidi w:val="0"/>
              <w:spacing w:before="0" w:after="283"/>
              <w:jc w:val="left"/>
              <w:rPr/>
            </w:pPr>
            <w:r>
              <w:rPr/>
              <w:t> </w:t>
            </w:r>
          </w:p>
        </w:tc>
        <w:tc>
          <w:tcPr>
            <w:tcW w:w="2144" w:type="dxa"/>
            <w:tcBorders/>
            <w:vAlign w:val="bottom"/>
          </w:tcPr>
          <w:p>
            <w:pPr>
              <w:pStyle w:val="TableContents"/>
              <w:bidi w:val="0"/>
              <w:spacing w:before="0" w:after="283"/>
              <w:jc w:val="right"/>
              <w:rPr>
                <w:b/>
              </w:rPr>
            </w:pPr>
            <w:r>
              <w:rPr>
                <w:b/>
              </w:rPr>
              <w:t>J.P. Morgan</w:t>
            </w:r>
          </w:p>
        </w:tc>
        <w:tc>
          <w:tcPr>
            <w:tcW w:w="102"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Mizuho</w:t>
            </w:r>
          </w:p>
        </w:tc>
      </w:tr>
    </w:tbl>
    <w:p>
      <w:pPr>
        <w:pStyle w:val="TextBody"/>
        <w:bidi w:val="0"/>
        <w:spacing w:before="80" w:after="0"/>
        <w:jc w:val="center"/>
        <w:rPr>
          <w:rFonts w:ascii="Times New Roman" w:hAnsi="Times New Roman"/>
          <w:i/>
          <w:sz w:val="18"/>
        </w:rPr>
      </w:pPr>
      <w:r>
        <w:rPr>
          <w:rFonts w:ascii="Times New Roman" w:hAnsi="Times New Roman"/>
          <w:i/>
          <w:sz w:val="18"/>
        </w:rPr>
        <w:t xml:space="preserve">Co-Managers </w:t>
      </w:r>
    </w:p>
    <w:p>
      <w:pPr>
        <w:pStyle w:val="TextBody"/>
        <w:bidi w:val="0"/>
        <w:spacing w:before="0" w:after="0"/>
        <w:jc w:val="left"/>
        <w:rPr/>
      </w:pPr>
      <w:r>
        <w:rPr/>
        <w:t> </w:t>
      </w:r>
    </w:p>
    <w:tbl>
      <w:tblPr>
        <w:tblW w:w="10390" w:type="dxa"/>
        <w:jc w:val="left"/>
        <w:tblInd w:w="0" w:type="dxa"/>
        <w:tblLayout w:type="fixed"/>
        <w:tblCellMar>
          <w:top w:w="0" w:type="dxa"/>
          <w:left w:w="0" w:type="dxa"/>
          <w:bottom w:w="0" w:type="dxa"/>
          <w:right w:w="0" w:type="dxa"/>
        </w:tblCellMar>
      </w:tblPr>
      <w:tblGrid>
        <w:gridCol w:w="1790"/>
        <w:gridCol w:w="60"/>
        <w:gridCol w:w="2855"/>
        <w:gridCol w:w="60"/>
        <w:gridCol w:w="1655"/>
        <w:gridCol w:w="60"/>
        <w:gridCol w:w="2435"/>
        <w:gridCol w:w="60"/>
        <w:gridCol w:w="1415"/>
      </w:tblGrid>
      <w:tr>
        <w:trPr/>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790" w:type="dxa"/>
            <w:tcBorders/>
          </w:tcPr>
          <w:p>
            <w:pPr>
              <w:pStyle w:val="TableContents"/>
              <w:bidi w:val="0"/>
              <w:spacing w:before="0" w:after="0"/>
              <w:jc w:val="left"/>
              <w:rPr>
                <w:rFonts w:ascii="Times New Roman" w:hAnsi="Times New Roman"/>
                <w:b/>
                <w:sz w:val="18"/>
              </w:rPr>
            </w:pPr>
            <w:r>
              <w:rPr>
                <w:rFonts w:ascii="Times New Roman" w:hAnsi="Times New Roman"/>
                <w:b/>
                <w:sz w:val="18"/>
              </w:rPr>
              <w:t>CIBC Capital Markets</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855" w:type="dxa"/>
            <w:tcBorders/>
          </w:tcPr>
          <w:p>
            <w:pPr>
              <w:pStyle w:val="TableContents"/>
              <w:bidi w:val="0"/>
              <w:spacing w:before="0" w:after="283"/>
              <w:jc w:val="center"/>
              <w:rPr>
                <w:b/>
              </w:rPr>
            </w:pPr>
            <w:r>
              <w:rPr>
                <w:b/>
              </w:rPr>
              <w:t>Goldman Sachs &amp; Co. LLC</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2435" w:type="dxa"/>
            <w:tcBorders/>
            <w:vAlign w:val="bottom"/>
          </w:tcPr>
          <w:p>
            <w:pPr>
              <w:pStyle w:val="TableContents"/>
              <w:bidi w:val="0"/>
              <w:spacing w:before="0" w:after="283"/>
              <w:jc w:val="right"/>
              <w:rPr>
                <w:b/>
              </w:rPr>
            </w:pPr>
            <w:r>
              <w:rPr>
                <w:b/>
              </w:rPr>
              <w:t>Regions Securities LLC</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b/>
              </w:rPr>
            </w:pPr>
            <w:r>
              <w:rPr>
                <w:b/>
              </w:rPr>
              <w:t>SMBC Nikko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2"/>
        <w:gridCol w:w="101"/>
        <w:gridCol w:w="3777"/>
        <w:gridCol w:w="101"/>
        <w:gridCol w:w="3164"/>
      </w:tblGrid>
      <w:tr>
        <w:trPr/>
        <w:tc>
          <w:tcPr>
            <w:tcW w:w="306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3062" w:type="dxa"/>
            <w:tcBorders/>
          </w:tcPr>
          <w:p>
            <w:pPr>
              <w:pStyle w:val="TableContents"/>
              <w:bidi w:val="0"/>
              <w:spacing w:before="0" w:after="283"/>
              <w:jc w:val="left"/>
              <w:rPr>
                <w:b/>
              </w:rPr>
            </w:pPr>
            <w:r>
              <w:rPr>
                <w:b/>
              </w:rPr>
              <w:t>Comerica Securities</w:t>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center"/>
              <w:rPr>
                <w:b/>
              </w:rPr>
            </w:pPr>
            <w:r>
              <w:rPr>
                <w:b/>
              </w:rPr>
              <w:t>US Bancorp</w:t>
            </w:r>
          </w:p>
        </w:tc>
        <w:tc>
          <w:tcPr>
            <w:tcW w:w="101"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b/>
              </w:rPr>
            </w:pPr>
            <w:r>
              <w:rPr>
                <w:b/>
              </w:rPr>
              <w:t>Zions Capital Markets</w:t>
            </w:r>
          </w:p>
        </w:tc>
      </w:tr>
    </w:tbl>
    <w:p>
      <w:pPr>
        <w:pStyle w:val="TextBody"/>
        <w:bidi w:val="0"/>
        <w:spacing w:before="80" w:after="0"/>
        <w:jc w:val="center"/>
        <w:rPr>
          <w:rFonts w:ascii="Times New Roman" w:hAnsi="Times New Roman"/>
          <w:b/>
          <w:sz w:val="18"/>
        </w:rPr>
      </w:pPr>
      <w:r>
        <w:rPr>
          <w:rFonts w:ascii="Times New Roman" w:hAnsi="Times New Roman"/>
          <w:b/>
          <w:sz w:val="18"/>
        </w:rPr>
        <w:t xml:space="preserve">The date of this prospectus supplement is February 25,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1">
              <w:r>
                <w:rPr>
                  <w:rStyle w:val="InternetLink"/>
                  <w:rFonts w:ascii="Times New Roman" w:hAnsi="Times New Roman"/>
                  <w:sz w:val="20"/>
                </w:rPr>
                <w:t xml:space="preserve">Summary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2">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3">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4">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5">
              <w:r>
                <w:rPr>
                  <w:rStyle w:val="InternetLink"/>
                  <w:rFonts w:ascii="Times New Roman" w:hAnsi="Times New Roman"/>
                  <w:sz w:val="20"/>
                </w:rPr>
                <w:t>Description of the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6">
              <w:r>
                <w:rPr>
                  <w:rStyle w:val="InternetLink"/>
                  <w:rFonts w:ascii="Times New Roman" w:hAnsi="Times New Roman"/>
                  <w:sz w:val="20"/>
                </w:rPr>
                <w:t>Material United States Federal Income Tax Consequences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7">
              <w:r>
                <w:rPr>
                  <w:rStyle w:val="InternetLink"/>
                  <w:rFonts w:ascii="Times New Roman" w:hAnsi="Times New Roman"/>
                  <w:sz w:val="20"/>
                </w:rPr>
                <w:t>Underwriting (Conflicts of Interest)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8">
              <w:r>
                <w:rPr>
                  <w:rStyle w:val="InternetLink"/>
                  <w:rFonts w:ascii="Times New Roman" w:hAnsi="Times New Roman"/>
                  <w:sz w:val="20"/>
                </w:rPr>
                <w:t>Legal</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9">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10">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0596_11">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35"/>
        <w:gridCol w:w="354"/>
        <w:gridCol w:w="60"/>
        <w:gridCol w:w="493"/>
        <w:gridCol w:w="63"/>
      </w:tblGrid>
      <w:tr>
        <w:trPr/>
        <w:tc>
          <w:tcPr>
            <w:tcW w:w="923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35"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Page</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1">
              <w:r>
                <w:rPr>
                  <w:rStyle w:val="InternetLink"/>
                  <w:rFonts w:ascii="Times New Roman" w:hAnsi="Times New Roman"/>
                  <w:sz w:val="20"/>
                </w:rPr>
                <w:t>About This Prospectus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2">
              <w:r>
                <w:rPr>
                  <w:rStyle w:val="InternetLink"/>
                  <w:rFonts w:ascii="Times New Roman" w:hAnsi="Times New Roman"/>
                  <w:sz w:val="20"/>
                </w:rPr>
                <w:t>Targa Resources Corp</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3">
              <w:r>
                <w:rPr>
                  <w:rStyle w:val="InternetLink"/>
                  <w:rFonts w:ascii="Times New Roman" w:hAnsi="Times New Roman"/>
                  <w:sz w:val="20"/>
                </w:rPr>
                <w:t>Where You Can Find More Information</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4">
              <w:r>
                <w:rPr>
                  <w:rStyle w:val="InternetLink"/>
                  <w:rFonts w:ascii="Times New Roman" w:hAnsi="Times New Roman"/>
                  <w:sz w:val="20"/>
                </w:rPr>
                <w:t>Cautionary Statement About Forward-Looking Statements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5">
              <w:r>
                <w:rPr>
                  <w:rStyle w:val="InternetLink"/>
                  <w:rFonts w:ascii="Times New Roman" w:hAnsi="Times New Roman"/>
                  <w:sz w:val="20"/>
                </w:rPr>
                <w:t>Risk Factors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6">
              <w:r>
                <w:rPr>
                  <w:rStyle w:val="InternetLink"/>
                  <w:rFonts w:ascii="Times New Roman" w:hAnsi="Times New Roman"/>
                  <w:sz w:val="20"/>
                </w:rPr>
                <w:t>Use of Proceeds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7">
              <w:r>
                <w:rPr>
                  <w:rStyle w:val="InternetLink"/>
                  <w:rFonts w:ascii="Times New Roman" w:hAnsi="Times New Roman"/>
                  <w:sz w:val="20"/>
                </w:rPr>
                <w:t>Dividend Policy</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8">
              <w:r>
                <w:rPr>
                  <w:rStyle w:val="InternetLink"/>
                  <w:rFonts w:ascii="Times New Roman" w:hAnsi="Times New Roman"/>
                  <w:sz w:val="20"/>
                </w:rPr>
                <w:t>Description of Debt Securities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9">
              <w:r>
                <w:rPr>
                  <w:rStyle w:val="InternetLink"/>
                  <w:rFonts w:ascii="Times New Roman" w:hAnsi="Times New Roman"/>
                  <w:sz w:val="20"/>
                </w:rPr>
                <w:t>Description of Capital Stock</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10">
              <w:r>
                <w:rPr>
                  <w:rStyle w:val="InternetLink"/>
                  <w:rFonts w:ascii="Times New Roman" w:hAnsi="Times New Roman"/>
                  <w:sz w:val="20"/>
                </w:rPr>
                <w:t>Description of Depositary Shares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11">
              <w:r>
                <w:rPr>
                  <w:rStyle w:val="InternetLink"/>
                  <w:rFonts w:ascii="Times New Roman" w:hAnsi="Times New Roman"/>
                  <w:sz w:val="20"/>
                </w:rPr>
                <w:t>Description of Warrants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12">
              <w:r>
                <w:rPr>
                  <w:rStyle w:val="InternetLink"/>
                  <w:rFonts w:ascii="Times New Roman" w:hAnsi="Times New Roman"/>
                  <w:sz w:val="20"/>
                </w:rPr>
                <w:t>Plan of Distribution</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13">
              <w:r>
                <w:rPr>
                  <w:rStyle w:val="InternetLink"/>
                  <w:rFonts w:ascii="Times New Roman" w:hAnsi="Times New Roman"/>
                  <w:sz w:val="20"/>
                </w:rPr>
                <w:t>Legal Matters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235" w:type="dxa"/>
            <w:tcBorders/>
          </w:tcPr>
          <w:p>
            <w:pPr>
              <w:pStyle w:val="TableContents"/>
              <w:bidi w:val="0"/>
              <w:spacing w:before="0" w:after="0"/>
              <w:jc w:val="left"/>
              <w:rPr/>
            </w:pPr>
            <w:hyperlink w:anchor="rom20596_14">
              <w:r>
                <w:rPr>
                  <w:rStyle w:val="InternetLink"/>
                  <w:rFonts w:ascii="Times New Roman" w:hAnsi="Times New Roman"/>
                  <w:sz w:val="20"/>
                </w:rPr>
                <w:t>Experts</w:t>
              </w:r>
            </w:hyperlink>
          </w:p>
        </w:tc>
        <w:tc>
          <w:tcPr>
            <w:tcW w:w="3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March 2, 2026, which will be the third business day following the date hereof (such settlement being referred to as “T+3”). Under Rule 15c6-1 under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business day before delivery of the notes hereunder may be required, by virtue of the fact that the notes initially settle in T+3, to specify an alternate settlement cycle at the time of any such trade to prevent a failed settlement and such purchasers should consult their own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underwriters have authorized anyone to provide any information other than that which is contained or incorporated by reference in this prospectus supplement, the accompanying prospectus or any free writing prospectus prepared by or on behalf of us or to which we have referred you. Neither we nor the underwriters take any responsibility for, or provide any assurance as to, the reliability of any other information that others may give you. This prospectus supplement and the accompanying base prospectus do not constitute an offer to sell or the solicitation of an offer to buy any securities other than the registered securities to which they relate, nor does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constitute an offer to sell or the solicitation of an offer to buy securities in any jurisdiction to any person to whom it is unlawful to make such offer or solicitation in such jurisdiction. The information contained or incorporated by reference in this prospectus supplement, the accompanying prospectus or any free writing prospectus is accurate as of the date of the document in which the information appears. You should not assume that the information contained in this prospectus supplement or the accompanying base prospectus or in any free writing prospectus is accurate on any date other than the respective date of such document. Our business, financial condition, results of operations and prospects may have changed after any of such dates. </w:t>
      </w:r>
    </w:p>
    <w:p>
      <w:pPr>
        <w:pStyle w:val="TextBody"/>
        <w:bidi w:val="0"/>
        <w:spacing w:before="480" w:after="0"/>
        <w:jc w:val="center"/>
        <w:rPr>
          <w:rFonts w:ascii="Times New Roman" w:hAnsi="Times New Roman"/>
          <w:b/>
          <w:sz w:val="20"/>
        </w:rPr>
      </w:pPr>
      <w:r>
        <w:rPr>
          <w:rFonts w:ascii="Times New Roman" w:hAnsi="Times New Roman"/>
          <w:b/>
          <w:sz w:val="20"/>
        </w:rPr>
        <w:t xml:space="preserve">Information 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The second part is the accompanying base prospectus, which gives more general information, some of which may not apply to this offering of notes. Generally, when we refer only to the “prospectus,” we are referring to both parts combined. If information varies between this prospectus supplement and the accompanying base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Any statement made in this prospectus supplement, the accompanying base prospectus or in a document incorporated or deemed to be incorporated by reference into this prospectus supplement or the accompanying base prospectus will be deemed to be modified or superseded for purposes of this prospectus supplement to the extent that a statement contained in this prospectus supplement, the accompanying base prospectus or in any other subsequently filed document that is also incorporated by reference into this prospectus supplement modifies or supersedes that statement. Any statement so modified or superseded will not be deemed, except as so modified or superseded, to constitute a part of this prospectus supplement or the accompanying base prospectus. Please read “</w:t>
      </w:r>
      <w:r>
        <w:rPr>
          <w:rFonts w:ascii="Times New Roman" w:hAnsi="Times New Roman"/>
          <w:i/>
          <w:sz w:val="20"/>
        </w:rPr>
        <w:t>Where You Can Find More Information</w:t>
      </w:r>
      <w:r>
        <w:rPr>
          <w:rFonts w:ascii="Times New Roman" w:hAnsi="Times New Roman"/>
          <w:sz w:val="20"/>
        </w:rPr>
        <w:t xml:space="preserve">” in this prospectus supplement and the accompanying base prospectus for more information.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supptx20596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Please read “Risk Factors” beginning on page S-5 of this prospectus supplement and page 6 of the accompanying base prospectus for more information about important risks that you should consider before investing in the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Throughout this prospectus supplement, when we use the terms “Targa,” “we,” “us,” “our” or the “Company,” we are referring either to Targa Resources Corp. in its individual capacity or to Targa Resources Corp. and its subsidiaries collectively, as the context requires.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 The Company is primarily engaged in the business of: (i) gathering, compressing, treating, processing, transporting and purchasing and selling natural gas; (ii) transporting, storing, fractionating, treating and purchasing and selling natural gas liquids (“NGL(s)”) and NGL products, including services to liquified petroleum gas exporters; and (iii) gathering, storing, terminaling and purchasing and selling crude oil. Targa Resources Partners LP (“TRP” or the “Partnership”) is a wholly owned subsidiary of the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811 Louisiana St., Suite 2100, Houston, Texas 77002, and our telephone number is (713) 584-1000. Our website is located at </w:t>
      </w:r>
      <w:r>
        <w:rPr>
          <w:rFonts w:ascii="Times New Roman" w:hAnsi="Times New Roman"/>
          <w:i/>
          <w:sz w:val="20"/>
          <w:bdr w:val="single" w:sz="8" w:space="1" w:color="000000"/>
        </w:rPr>
        <w:t>www.targaresources.com</w:t>
      </w:r>
      <w:r>
        <w:rPr>
          <w:rFonts w:ascii="Times New Roman" w:hAnsi="Times New Roman"/>
          <w:sz w:val="20"/>
          <w:bdr w:val="single" w:sz="8" w:space="1" w:color="000000"/>
        </w:rPr>
        <w:t xml:space="preserve">. We make our periodic reports and other information filed with or furnished to the SEC available, free of charge, through our website, as soon as reasonably practicable after those reports and other information are electronically filed with or furnished to the Commission. The information on our website is not part of this prospectus supplement, and you should rely only on information contained or incorporated by reference in this prospectus supplement, and the accompanying base prospectus, when making a decision to invest or not invest in the notes.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about us, including our corporate structure and management, please refer to the documents set forth under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in this prospectus supplement, including our most recent Annual Report on Form 10-K, any subsequently filed Quarterly Reports on Form 10-Q and Current Reports on Form 8-K (other than, in each case, information furnished rather than filed), all of which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diagram below depicts our simplified ownership structure on an “as further adjusted” basis as described in the “</w:t>
      </w:r>
      <w:r>
        <w:rPr>
          <w:rFonts w:ascii="Times New Roman" w:hAnsi="Times New Roman"/>
          <w:i/>
          <w:sz w:val="20"/>
          <w:bdr w:val="single" w:sz="8" w:space="1" w:color="000000"/>
        </w:rPr>
        <w:t>Capitalization</w:t>
      </w:r>
      <w:r>
        <w:rPr>
          <w:rFonts w:ascii="Times New Roman" w:hAnsi="Times New Roman"/>
          <w:sz w:val="20"/>
          <w:bdr w:val="single" w:sz="8" w:space="1" w:color="000000"/>
        </w:rPr>
        <w:t xml:space="preserve">” section of this prospectus supplement.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91200" cy="36810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91200" cy="3681095"/>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guarantee all of the Partnership’s outstanding senior unsecured notes. Our guarantor subsidiaries, including the Partnership, guarantee our revolving credit facility as well as the Commercial Paper Program and will guarantee the notes offered hereby. Certain of our guarantor subsidiaries collectively directly or indirectly own 100% of the outstanding general partner and limited partner interests in the Partnership.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Borrowings under the Commercial Paper Program are supported through maintaining a minimum available borrowing capacity under our revolving credit facility equal to the aggregate amount outstanding under the Commercial Paper Program, and we reflect such borrowings as amounts outstanding under our revolving credit facility in our Consolidated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“Description of the Notes” in this prospectus supplement and the section entitled “Description of Debt Securities” in the accompanying base 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Targa Resources Corp.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9" w:type="dxa"/>
            <w:tcBorders/>
          </w:tcPr>
          <w:p>
            <w:pPr>
              <w:pStyle w:val="TableContents"/>
              <w:bidi w:val="0"/>
              <w:spacing w:before="0" w:after="283"/>
              <w:jc w:val="left"/>
              <w:rPr/>
            </w:pPr>
            <w:r>
              <w:rPr/>
              <w:t xml:space="preserve">We are offering $750,000,000 aggregate principal amount of 4.350% Senior Notes due 2031 and $750,000,000 aggregate principal amount of 6.050% Senior Notes due 2056.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9" w:type="dxa"/>
            <w:tcBorders/>
          </w:tcPr>
          <w:p>
            <w:pPr>
              <w:pStyle w:val="TableContents"/>
              <w:bidi w:val="0"/>
              <w:spacing w:before="0" w:after="283"/>
              <w:jc w:val="left"/>
              <w:rPr/>
            </w:pPr>
            <w:r>
              <w:rPr/>
              <w:t xml:space="preserve">The 2031 notes will mature on April 15, 2031. The 2056 notes will mature on May 15, 2056.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7" w:type="dxa"/>
            <w:tcBorders/>
          </w:tcPr>
          <w:p>
            <w:pPr>
              <w:pStyle w:val="TableContents"/>
              <w:bidi w:val="0"/>
              <w:spacing w:before="0" w:after="283"/>
              <w:jc w:val="left"/>
              <w:rPr/>
            </w:pPr>
            <w:r>
              <w:rPr/>
              <w:t xml:space="preserve">The 2031 notes will bear interest at the rate of 4.350% per annum, accruing from March 2, 2026. The 2056 notes will bear interest at the rate of 6.050% per annum, accruing from March 2,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9" w:type="dxa"/>
            <w:tcBorders/>
          </w:tcPr>
          <w:p>
            <w:pPr>
              <w:pStyle w:val="TableContents"/>
              <w:bidi w:val="0"/>
              <w:spacing w:before="0" w:after="283"/>
              <w:jc w:val="left"/>
              <w:rPr/>
            </w:pPr>
            <w:r>
              <w:rPr/>
              <w:t xml:space="preserve">Interest is payable semi-annually on the 2031 notes on April 15 and October 15 of each year, beginning October 15, 2026. Interest is payable semi-annually on the 2056 notes on May 15 and November 15 of each year, beginning November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Mandatory Redemption </w:t>
            </w:r>
          </w:p>
        </w:tc>
        <w:tc>
          <w:tcPr>
            <w:tcW w:w="6330" w:type="dxa"/>
            <w:tcBorders/>
          </w:tcPr>
          <w:p>
            <w:pPr>
              <w:pStyle w:val="TableContents"/>
              <w:bidi w:val="0"/>
              <w:spacing w:before="0" w:after="283"/>
              <w:jc w:val="left"/>
              <w:rPr/>
            </w:pPr>
            <w:r>
              <w:rPr/>
              <w:t xml:space="preserve">We will not be required to make mandatory redemption or sinking fund payments on the notes or to repurchase the notes at the option of the 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7" w:type="dxa"/>
            <w:tcBorders/>
          </w:tcPr>
          <w:p>
            <w:pPr>
              <w:pStyle w:val="TableContents"/>
              <w:bidi w:val="0"/>
              <w:spacing w:before="0" w:after="283"/>
              <w:jc w:val="left"/>
              <w:rPr/>
            </w:pPr>
            <w:r>
              <w:rPr/>
              <w:t>Prior to March 15, 2031 in the case of the 2031 notes and prior to November 15, 2055 in the case of the 2056 notes (each date, a “Par Call Date” with respect to the applicable series of notes), we may redeem the notes of the applicable series, in whole or in part, at any time and from time to time, at our option, at the “make-whole” redemption price described in this prospectus supplement under “</w:t>
            </w:r>
            <w:r>
              <w:rPr>
                <w:i/>
              </w:rPr>
              <w:t>Description of the Notes—Optional Redemption</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On or after the applicable Par Call Date with respect to a series of notes, we may redeem the notes of such series, in whole or in part, at any time and from time to time, at a redemption price equal to 100% of the principal amount of the notes being redeemed plus accrued and unpaid interest to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Subsidiary Guarantees </w:t>
            </w:r>
          </w:p>
        </w:tc>
        <w:tc>
          <w:tcPr>
            <w:tcW w:w="6327" w:type="dxa"/>
            <w:tcBorders/>
          </w:tcPr>
          <w:p>
            <w:pPr>
              <w:pStyle w:val="TableContents"/>
              <w:bidi w:val="0"/>
              <w:spacing w:before="0" w:after="283"/>
              <w:jc w:val="left"/>
              <w:rPr/>
            </w:pPr>
            <w:r>
              <w:rPr/>
              <w:t xml:space="preserve">The notes will be fully and unconditionally guaranteed, jointly and severally, on a senior unsecured basis by our subsidiaries that guarantee our revolving credit facility for so long as such subsidiaries guarantee our revolving credit facility. Any of our other subsidiaries that in the future guarantee our revolving credit facility may be required to guarantee the notes on the same basis, and the guarantees may be released or terminated under certain circumstances.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our senior unsecured obligations and will rank equally in right of payment with our current and future unsecured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senior debt, including debt under our revolving credit facility and the Commercial Paper Program, and senior in right of payment to any future subordinated debt that we may incur.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Each guarantee will rank equally in right of payment with all of such guarantor’s existing and future unsecured senior debt and other unsecured guarantees of senior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notes and the guarantees will be effectively junior to any secured indebtedness of ours or any guarantor to the extent of the value of the assets securing such indebtedness and structurally subordinated to all indebtedness and other obligations of our subsidiaries that do not guarantee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We expect to receive net proceeds of approximately $1,485.9 million from this offering, after deducting the underwriting discounts and estimated offering expenses. We expect to use the net proceeds from this offering for general corporate purposes, including to repay borrowings under the Commercial Paper Program, to repay other indebtedness, to repurchase or redeem securities or to fund capital expenditures, additions to working capital or investments in our subsidiaries. For more information,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and Trading </w:t>
            </w:r>
          </w:p>
        </w:tc>
        <w:tc>
          <w:tcPr>
            <w:tcW w:w="6327" w:type="dxa"/>
            <w:tcBorders/>
          </w:tcPr>
          <w:p>
            <w:pPr>
              <w:pStyle w:val="TableContents"/>
              <w:bidi w:val="0"/>
              <w:spacing w:before="0" w:after="283"/>
              <w:jc w:val="left"/>
              <w:rPr/>
            </w:pPr>
            <w:r>
              <w:rPr/>
              <w:t xml:space="preserve">The notes will not be listed on any securities exchange or included in any automated quotation system. Certain of the underwriters have advised us that they intend to make a market in the notes. The underwriters are not obligated, however, to make a market in the notes, and any such market may be discounted by the underwriters in their discretion at any time without notice.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An investment in the notes involves risks. Please read “</w:t>
            </w:r>
            <w:r>
              <w:rPr>
                <w:i/>
              </w:rPr>
              <w:t>Risk Factors</w:t>
            </w:r>
            <w:r>
              <w:rPr/>
              <w:t xml:space="preserve">” beginning on page S-5 of this prospectus supplement and on page 6 of the accompanying base prospectus for a discussion of factors you should carefully consider before investing in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8" w:type="dxa"/>
            <w:tcBorders/>
          </w:tcPr>
          <w:p>
            <w:pPr>
              <w:pStyle w:val="TableContents"/>
              <w:bidi w:val="0"/>
              <w:spacing w:before="0" w:after="283"/>
              <w:jc w:val="left"/>
              <w:rPr/>
            </w:pPr>
            <w:r>
              <w:rPr/>
              <w:t>Certain of the underwriters and/or their respective affiliates are lenders under our revolving credit facility and/or are dealers under the Commercial Paper Program. Because certain of the underwriters and/or their affiliates are expected to receive at least 5% of the net proceeds of this offering, such underwriters and/or their affiliates could be deemed to have a “conflict of interest” under Rule 5121 of the Financial Industry Regulatory Authority, Inc. (“Rule 5121”). See “</w:t>
            </w:r>
            <w:r>
              <w:rPr>
                <w:i/>
              </w:rPr>
              <w:t>Use of Proceeds</w:t>
            </w:r>
            <w:r>
              <w:rPr/>
              <w:t>.”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See “</w:t>
            </w:r>
            <w:r>
              <w:rPr>
                <w:i/>
              </w:rPr>
              <w:t>Underwriting (Conflicts of Interest)</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x20596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risks. You should carefully consider all of the information contained in this prospectus supplement, the accompanying base prospectus and the documents incorporated by reference as provided under “Where You Can Find More Information,” including our most recent Annual Report on Form 10-K and any subsequently filed Quarterly Reports on Form 10-Q and the risk factors described under “Risk Factors” therein. This prospectus supplement, the accompanying base prospectus and the documents incorporated by reference also contain forward-looking statements that involve risks and uncertainties. Please read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substantial amount of indebtedness that may adversely affect our financial position and prevent us from fulfilling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We currently have, and following this offering will continue to have, a substantial amount of indebtedness. Our revolving credit facility, which matures in February 2030, provides for a revolving credit facility in an initial aggregate principal amount up to $3.5 billion (with an option to increase such maximum aggregate principal amount by up to $500.0 million in the future, subject to the terms of our revolving credit facility) and a swing line sub-facility of up to $150.0 million. Under the terms of the Commercial Paper Program, we may issue, from time to time, unsecured commercial paper notes with varying maturities of less than one year. Amounts available under the Commercial Paper Program may be issued, repaid and re-issued from time to time, with the maximum aggregate face or principal amount outstanding at any one time not to exceed $3.5 billion. We maintain a minimum available borrowing capacity under our revolving credit facility equal to the aggregate amount outstanding under the Commercial Paper Program as support for the program. As of December 31, 2025, on an “as further adjusted” basis as described in “</w:t>
      </w:r>
      <w:r>
        <w:rPr>
          <w:rFonts w:ascii="Times New Roman" w:hAnsi="Times New Roman"/>
          <w:i/>
          <w:sz w:val="20"/>
        </w:rPr>
        <w:t>Capitalization</w:t>
      </w:r>
      <w:r>
        <w:rPr>
          <w:rFonts w:ascii="Times New Roman" w:hAnsi="Times New Roman"/>
          <w:sz w:val="20"/>
        </w:rPr>
        <w:t xml:space="preserve">,” we would have had no borrowings outstanding and approximately $3.4 billion of borrowing capacity under our revolving credit facility and approximately $31.9 million of borrowings outstanding under the Commercial Paper Program. </w:t>
      </w:r>
    </w:p>
    <w:p>
      <w:pPr>
        <w:pStyle w:val="TextBody"/>
        <w:bidi w:val="0"/>
        <w:spacing w:before="240" w:after="0"/>
        <w:jc w:val="left"/>
        <w:rPr>
          <w:rFonts w:ascii="Times New Roman" w:hAnsi="Times New Roman"/>
          <w:sz w:val="20"/>
        </w:rPr>
      </w:pPr>
      <w:r>
        <w:rPr>
          <w:rFonts w:ascii="Times New Roman" w:hAnsi="Times New Roman"/>
          <w:sz w:val="20"/>
        </w:rPr>
        <w:t xml:space="preserve">Our substantial level of indebtedness increases the possibility that we may be unable to generate cash sufficient to pay, when due, the principal of, interest on or other amounts due in respect of indebtedness. This substantial indebtedness, combined with lease and other financial obligations and contractual commitments, could have other important consequences to us,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if necessary, for working capital, capital expenditures, acquisitions or other purposes may be impaired or such financing may not be available on 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satisfying our obligations with respect to indebtedness may be more difficult and any failure to comply with the obligations of any debt instruments could result in an event of default under the agreements governing such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a portion of cash flow to make interest payments on debt, reducing the funds that would otherwise be available for operations and future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level may influence how counterparties view our creditworthiness, which could limit our ability to enter into commercial transactions at favorable rates or require us to post additional collateral in commercial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level will make us more vulnerable to competitive pressures or a downturn in our business or the economy generally;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level may limit flexibility in planning for, or responding to, changing business and economic conditions.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our subsidiaries conduct all of our operations and own all of our operating assets. We have no significant assets other than the equity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applicable state limited liability company laws and other laws and regulations. If we are unable to obtain the funds necessary to pay the principal amount at maturity of the notes, we may be required to adopt one or more alternatives, such as a refinancing of the notes. We cannot assure you that we would be able to refinance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of principal and interest on the notes will be structurally subordinated to the liabilities of our current and any future non-guarantor subsidiaries and effectively subordinated to any of our secured indebtedness to the extent of the assets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Not all of our subsidiaries will guarantee the notes. Although certain of our existing subsidiaries, including all of our subsidiaries that guarantee our indebtedness under our revolving credit facility on the issue date, will initially guarantee the notes, in the future, under certain circumstances, the note guarantees are subject to release, and we may have other subsidiaries that are not guarantors. The notes will be structurally subordinated to the claims of all creditors, including trade creditors and tort claimants, of our non-guarantor subsidiaries. In the event of the liquidation, dissolution, reorganization, bankruptcy or similar proceeding of the business of a non-guarantor subsidiary, creditors of such subsidiary would generally have the right to be paid in full before any distribution is made to us or the holders of the notes. Accordingly, there may not be sufficient funds remaining to pay amounts due on all or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the notes and the guarantees thereof will be our and the guarantors’ general unsecured senior obligations, and effectively subordinated to any secured debt that we or the guarantors may have, to the extent of the value of the assets securing that debt. The indenture will permit us and the guarantors to incur secured debt provided certain conditions are met. If we are declared bankrupt or insolvent, or are liquidated, the holders of our secured debt will be entitled to be paid from our assets securing their debt before any payment may be made with respect to the notes. If any of the preceding events occur, we may not have sufficient assets to pay amounts due on our secured debt and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Despite our and our subsidiaries’ current level of indebtedness, we may still be able to incur substantially more indebtedness. This could further exacerbate the risks associated with our substantial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may be able to incur substantial additional indebtedness in the future. Although the instruments governing our outstanding indebtedness contain restrictions that may limit our ability to incur additional indebtedness, these restrictions are subject to waiver and a significant number of qualifications and exceptions, and indebtedness incurred in compliance with these restrictions could be substantial. If we incur any additional indebtedness that ranks equally with the notes and the note guarantees, the holders of that indebtedness will be entitled to share ratably with the holders of the notes and the note guarantees in any proceeds distributed in connection with any insolvency, liquidation, reorganization, dissolution or other winding-up of us. This may have the effect of reducing the amount of proceeds paid to you. If new indebtedness is added to our current debt levels, the related risks that we and our subsidiaries now face could intensify.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note guarantees could be deemed fraudulent conveyances under certain circumstances, and a court may try to subordinate or void the note guarantees. </w:t>
      </w:r>
    </w:p>
    <w:p>
      <w:pPr>
        <w:pStyle w:val="TextBody"/>
        <w:bidi w:val="0"/>
        <w:spacing w:before="120" w:after="0"/>
        <w:jc w:val="left"/>
        <w:rPr>
          <w:rFonts w:ascii="Times New Roman" w:hAnsi="Times New Roman"/>
          <w:sz w:val="20"/>
        </w:rPr>
      </w:pPr>
      <w:r>
        <w:rPr>
          <w:rFonts w:ascii="Times New Roman" w:hAnsi="Times New Roman"/>
          <w:sz w:val="20"/>
        </w:rPr>
        <w:t xml:space="preserve">Under the federal bankruptcy laws and comparable provisions of state fraudulent transfer laws, a note guarantee could be voided, or claims in respect of a note guarantee could be subordinated to all other debts of that subsidiary guarantor if, among other things, the subsidiary guarantor, at the time it incurred the indebtedness evidenced by its note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received less than reasonably equivalent value or fair consideration for the incurrence of such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insolvent or rendered insolvent by reason of such incurrence;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engaged in a business or transaction for which the subsidiary guarantor’s remaining assets constituted unreasonably small capital;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intended to incur, or believed that it would incur, debts beyond its ability to pay such debts as they mature.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payment by that subsidiary guarantor pursuant to its note guarantee could be voided and required to be returned to the subsidiary guarantor or to a fund for the benefit of the creditors of the subsidiary guarantor. The measures of insolvency for purposes of these fraudulent transfer laws will vary depending upon the law applied in any proceeding to determine whether a fraudulent transfer has occurred. Generally, however, a subsidiary guarantor would be considered insolvent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its debts, including contingent liabilities, was greater than the fair saleable value of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fair saleable value of its assets was less than the amount that would be required to pay its probable liability, including contingent liabilities, on its existing debts, as they become absolute and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could not pay its debts as they become due.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Your ability to transfer the notes may be limited by the absence of a trading market.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the notes will be new securities for which currently there is no trading market. We do not currently intend to apply for listing of the notes on any securities exchange or stock market. Although certain of the underwriters have informed us that they currently intend to make a market in the notes, they are not obligated to do so. In addition, they may discontinue any such market making at any time without notice. The liquidity of any market for the notes will depend on the number of holders of those notes, the interest of securities dealers in making a market in those notes and other factors. Accordingly, we cannot assure you as to the development or liquidity of any market for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tx20596_3"/>
      <w:bookmarkEnd w:id="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receive net proceeds of approximately $1,485.9 million from this offering, after deducting the underwriting discounts and estimated offering expenses. We expect to use the net proceeds from this offering for general corporate purposes, including to repay borrowings under the Commercial Paper Program, to repay other indebtedness, to repurchase or redeem securities or to fund capital expenditures, additions to working capital or investments in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had approximately $161.0 million of outstanding borrowings under the Commercial Paper Program. Subsequently, we have borrowed approximately $1.357 billion under the Commercial Paper Program. These proceeds were used to fund a portion of the $1.25 billion purchase price in our acquisition of Stakeholder Midstream, LLC (the “Stakeholder Acquisition”), which closed on January 6, 2026, and to fund the redemption of all of the Partnership’s 6.875% Senior Unsecured Notes due 2029 on January 15, 2026. The notes outstanding under the Commercial Paper Program have varying maturities of less than one year. Notes outstanding under the Commercial Paper Program bore interest at a weighted average rate of 4.6%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had no qualifying receivables under the Partnership’s accounts receivable securitization facility (the “Securitization Facility”). On January 6, 2026, we borrowed $600 million under the Securitization Facility to fund a portion of the purchase price in the Stakeholder Acquisition. The maturity date of the Securitization Facility is August 31, 2026. The Securitization Facility bore interest at a weighted average rate of 5.2%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Certain of the underwriters and/or their respective affiliates are lenders under our revolving credit facility and/or are dealers under the Commercial Paper Program. Because certain of the underwriters and/or their affiliates are expected to receive at least 5% of the net proceeds of this offering, such underwriters and/or their affiliates could be deemed to have a “conflict of interest” under Rule 5121.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See “</w:t>
      </w:r>
      <w:r>
        <w:rPr>
          <w:rFonts w:ascii="Times New Roman" w:hAnsi="Times New Roman"/>
          <w:i/>
          <w:sz w:val="20"/>
        </w:rPr>
        <w:t>Underwriting (Conflicts of Interest)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x20596_4"/>
      <w:bookmarkEnd w:id="6"/>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on the following page sets forth our cash and cash equivalents and total capitalization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Commercial Paper Program and Securitization Facility borrowings in connection with closing the Stakeholder Acquisition and the redemption of the Partnership’s 6.875% Senior Notes due 2029 on January 15,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as further adjusted to give effect to the consummation of this offering and the application of the net proceeds therefrom in the manner described under “</w:t>
            </w:r>
            <w:r>
              <w:rPr>
                <w:rFonts w:ascii="Times New Roman" w:hAnsi="Times New Roman"/>
                <w:i/>
                <w:sz w:val="20"/>
              </w:rPr>
              <w:t>Use of Proceeds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table should be read together with our historical financial statements and the accompanying notes incorporated by reference into this prospectus supplement and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4715"/>
        <w:gridCol w:w="212"/>
        <w:gridCol w:w="158"/>
        <w:gridCol w:w="972"/>
        <w:gridCol w:w="155"/>
        <w:gridCol w:w="212"/>
        <w:gridCol w:w="183"/>
        <w:gridCol w:w="1121"/>
        <w:gridCol w:w="155"/>
        <w:gridCol w:w="212"/>
        <w:gridCol w:w="162"/>
        <w:gridCol w:w="970"/>
        <w:gridCol w:w="161"/>
      </w:tblGrid>
      <w:tr>
        <w:trPr/>
        <w:tc>
          <w:tcPr>
            <w:tcW w:w="471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3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161"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w:t>
            </w:r>
          </w:p>
        </w:tc>
        <w:tc>
          <w:tcPr>
            <w:tcW w:w="161"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b/>
              </w:rPr>
            </w:pPr>
            <w:r>
              <w:rPr>
                <w:b/>
              </w:rPr>
              <w:t>(in millions)</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04" w:type="dxa"/>
            <w:gridSpan w:val="2"/>
            <w:tcBorders/>
            <w:vAlign w:val="bottom"/>
          </w:tcPr>
          <w:p>
            <w:pPr>
              <w:pStyle w:val="TableContents"/>
              <w:bidi w:val="0"/>
              <w:spacing w:before="0" w:after="283"/>
              <w:jc w:val="center"/>
              <w:rPr>
                <w:b/>
              </w:rPr>
            </w:pPr>
            <w:r>
              <w:rPr>
                <w:b/>
              </w:rPr>
              <w:t>(in millions)</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(in millions)</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972" w:type="dxa"/>
            <w:tcBorders/>
            <w:shd w:fill="CCEEFF" w:val="clear"/>
            <w:vAlign w:val="bottom"/>
          </w:tcPr>
          <w:p>
            <w:pPr>
              <w:pStyle w:val="TableContents"/>
              <w:bidi w:val="0"/>
              <w:spacing w:before="0" w:after="283"/>
              <w:jc w:val="right"/>
              <w:rPr/>
            </w:pPr>
            <w:r>
              <w:rPr/>
              <w:t>166.1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190.9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190.9</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9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Debt obligations:</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Targa senior revolving credit facility, variable rate (1)</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161.0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1,517.8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31.9</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Senior unsecured notes issued by Targa</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5.200% fixed rate, due July 2027</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750.0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750.0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750.0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4.350% fixed rate, due January 2029</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750.0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6.150% fixed rate, due March 2029</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4.900% fixed rate, due September 2030</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750.0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4.200% fixed rate, due February 2033</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750.0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750.0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750.0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6.125% fixed rate, due March 2033</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900.0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900.0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900.0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6.500% fixed rate, due March 2034</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5.500% fixed rate, due February 2035</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1,000.0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5.550% fixed rate, due August 2035</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5.650% fixed rate, due February 2036</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750.0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5.400% fixed rate, due July 2036</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4.950% fixed rate, due April 2052</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750.0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6.250% fixed rate, due July 2052</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500.0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6.500% fixed rate, due February 2053</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850.0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850.0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850.0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6.125% fixed rate, due May 2055</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4.350% fixed rate, due April 2031</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750.0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6.050% fixed rate, due May 2056</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750.0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Unamortized discount</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(38.3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(38.3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(39.9</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unsecured notes issued by the Partnership (2)</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5.000% fixed rate, due January 2028</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700.3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700.3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700.3</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6.875% fixed rate, due January 2029</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679.3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5.500% fixed rate, due March 2030</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949.6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949.6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949.6</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4.875% fixed rate, due February 2031</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4.000% fixed rate, due January 2032</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1,000.0</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Partnership accounts receivable securitization facility, due August 2026 (3)</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600.0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600.0</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 net of amortization</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(122.9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(120.6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(133.1</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353.5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353.5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353.5</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Total debt obligations</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17,432.5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18,712.3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18,712.3</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Owners’ equity:</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Total Targa stockholders’ equity</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3,067.9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3,052.3</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3,052.3</w:t>
            </w:r>
          </w:p>
        </w:tc>
        <w:tc>
          <w:tcPr>
            <w:tcW w:w="161"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130.3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130.3</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130.3</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Total owners’ equity</w:t>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3,198.2</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3,182.6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3,182.6</w:t>
            </w:r>
          </w:p>
        </w:tc>
        <w:tc>
          <w:tcPr>
            <w:tcW w:w="161"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972" w:type="dxa"/>
            <w:tcBorders/>
            <w:shd w:fill="CCEEFF" w:val="clear"/>
            <w:vAlign w:val="bottom"/>
          </w:tcPr>
          <w:p>
            <w:pPr>
              <w:pStyle w:val="TableContents"/>
              <w:bidi w:val="0"/>
              <w:spacing w:before="0" w:after="283"/>
              <w:jc w:val="right"/>
              <w:rPr/>
            </w:pPr>
            <w:r>
              <w:rPr/>
              <w:t>20,630.7</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21,894.9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21,894.9</w:t>
            </w:r>
          </w:p>
        </w:tc>
        <w:tc>
          <w:tcPr>
            <w:tcW w:w="161"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9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February 23, 2026, the Commercial Paper Program had approximately $1.9 billion of borrowings outstanding. Borrowings under the Commercial Paper Program are supported through maintaining a minimum available borrowing capacity under our revolving credit facility equal to the aggregate amount outstanding under the Commercial Paper Program, and we reflect such borrowings as amounts outstanding under our revolving credit facility in our Consolidated Financial Statements.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guarantee all of the Partnership’s outstanding senior unsecured notes. Our guarantor subsidiaries, including the Partnership, guarantee our revolving credit facility and Commercial Paper Program and existing senior notes, and will guarantee the notes offered hereby.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February 23, 2026, the Securitization Facility had approximately $600 million of borrowings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20596_5"/>
      <w:bookmarkEnd w:id="7"/>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Targa will issue the 2031 notes and the 2056 notes as separate series of its debt securities described in the accompanying base prospectus. The notes will be issued under an indenture entered into on April 6, 2022, as supplemented by a supplemental indenture establishing the notes to be dated as of the closing of this offering (collectively, the “indenture”), among Targa, certain subsidiary guarantors, and U.S. Bank Trust Company, National Association, as trustee (the “trustee”). This description is a summary of the material provisions of the notes and the indenture. The summary of selected provisions of the notes and the indenture referred to below supplements, and to the extent inconsistent, supersedes and replaces, the description of the general terms and provisions of the debt securities and the indenture contained in the accompanying prospectus under the caption “</w:t>
      </w:r>
      <w:r>
        <w:rPr>
          <w:rFonts w:ascii="Times New Roman" w:hAnsi="Times New Roman"/>
          <w:i/>
          <w:sz w:val="20"/>
        </w:rPr>
        <w:t>Description of Debt Securities</w:t>
      </w:r>
      <w:r>
        <w:rPr>
          <w:rFonts w:ascii="Times New Roman" w:hAnsi="Times New Roman"/>
          <w:sz w:val="20"/>
        </w:rPr>
        <w:t>.” This description does not restate those agreements and instruments in their entirety. You should refer to the notes and the indenture, forms of which are available as set forth below under “</w:t>
      </w:r>
      <w:r>
        <w:rPr>
          <w:rFonts w:ascii="Times New Roman" w:hAnsi="Times New Roman"/>
          <w:i/>
          <w:sz w:val="20"/>
        </w:rPr>
        <w:t>Where You Can Find More Information</w:t>
      </w:r>
      <w:r>
        <w:rPr>
          <w:rFonts w:ascii="Times New Roman" w:hAnsi="Times New Roman"/>
          <w:sz w:val="20"/>
        </w:rPr>
        <w:t xml:space="preserve">,” for a complete description of our obligations and your rights. </w:t>
      </w:r>
    </w:p>
    <w:p>
      <w:pPr>
        <w:pStyle w:val="TextBody"/>
        <w:bidi w:val="0"/>
        <w:spacing w:before="240" w:after="0"/>
        <w:jc w:val="left"/>
        <w:rPr>
          <w:rFonts w:ascii="Times New Roman" w:hAnsi="Times New Roman"/>
          <w:sz w:val="20"/>
        </w:rPr>
      </w:pPr>
      <w:r>
        <w:rPr>
          <w:rFonts w:ascii="Times New Roman" w:hAnsi="Times New Roman"/>
          <w:sz w:val="20"/>
        </w:rPr>
        <w:t>Defined terms used in this description, but not defined herein have the meanings assigned to them under the caption “</w:t>
      </w:r>
      <w:r>
        <w:rPr>
          <w:rFonts w:ascii="Times New Roman" w:hAnsi="Times New Roman"/>
          <w:i/>
          <w:sz w:val="20"/>
        </w:rPr>
        <w:t>Description of Debt Securities—Glossary</w:t>
      </w:r>
      <w:r>
        <w:rPr>
          <w:rFonts w:ascii="Times New Roman" w:hAnsi="Times New Roman"/>
          <w:sz w:val="20"/>
        </w:rPr>
        <w:t xml:space="preserve">” in the accompanying base prospectus. In this description, the terms “Targa,” “we,” “us” and “our” refer only to Targa Resources Corp. and not to any of its subsidiaries. The registered holder of a note (each, a “holder”) will be treated as the owner of it for all purposes. Only registered holders will have rights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general unsecured, senior obligations of Targa, ranking equally with all other existing and future unsecured and unsubordinated indebtedness of Targa;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initially be issued in an aggregate principal amount of $750,000,000 with respect to the 2031 notes and an aggregate principal amount of $750,000,000 with respect to the 2056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mature on April 15, 2031 with respect to the 2031 notes and on May 15, 2056 with respect to the 2056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denominations of $2,000 and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bear interest at an annual rate of 4.350% with respect to the 2031 notes and an annual rate of 6.050% with respect to the 2056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will be redeemable at any time at our option at the redemption prices described below under “—</w:t>
            </w:r>
            <w:r>
              <w:rPr>
                <w:rFonts w:ascii="Times New Roman" w:hAnsi="Times New Roman"/>
                <w:i/>
                <w:sz w:val="20"/>
              </w:rPr>
              <w:t>Optional Redemption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2031 notes and the 2056 notes each constitute a separate series of debt securities under the indenture. The indenture does not limit the amount of debt securities we may issue under the indenture from time to time in one or more series.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2031 notes will be issued as a series of debt securities under the indenture in an initial aggregate principal amount of $750,000,000 and will mature on April 15, 2031. The 2056 notes will be issued as a series of debt securities under the indenture in an initial aggregate principal amount of $750,000,000 and will mature on May 15, 2056. </w:t>
      </w:r>
    </w:p>
    <w:p>
      <w:pPr>
        <w:pStyle w:val="TextBody"/>
        <w:bidi w:val="0"/>
        <w:spacing w:before="240" w:after="0"/>
        <w:jc w:val="left"/>
        <w:rPr>
          <w:rFonts w:ascii="Times New Roman" w:hAnsi="Times New Roman"/>
          <w:sz w:val="20"/>
        </w:rPr>
      </w:pPr>
      <w:r>
        <w:rPr>
          <w:rFonts w:ascii="Times New Roman" w:hAnsi="Times New Roman"/>
          <w:sz w:val="20"/>
        </w:rPr>
        <w:t xml:space="preserve">Interest on each series of notes will accrue from and including March 2, 2026 or from and including the most recent interest payment date to which interest has been paid or provided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pay interest on the 2031 notes semi-annually on April 15 and October 15 of each year, beginning on October 15, 2026 (the “2031 interest payment dates”). We will pay interest on the 2056 notes semi-annually on May 15 and November 15 of each year, beginning on November 15, 2026 (the “2056 interest payment dates” and, together with the 2031 interest payment dates, the “interest payment dates”). We will make interest payments on the notes to the persons in whose names the notes are registered at the close of business on April 1 or October 1, as applicable, with respect to the 2031 notes, and on May 1 and November 1, as applicable, with respect to the 2056 notes, in each case, before the next interest payment date with respect to such notes. </w:t>
      </w:r>
    </w:p>
    <w:p>
      <w:pPr>
        <w:pStyle w:val="TextBody"/>
        <w:bidi w:val="0"/>
        <w:spacing w:before="240" w:after="0"/>
        <w:jc w:val="left"/>
        <w:rPr>
          <w:rFonts w:ascii="Times New Roman" w:hAnsi="Times New Roman"/>
          <w:sz w:val="20"/>
        </w:rPr>
      </w:pPr>
      <w:r>
        <w:rPr>
          <w:rFonts w:ascii="Times New Roman" w:hAnsi="Times New Roman"/>
          <w:sz w:val="20"/>
        </w:rPr>
        <w:t xml:space="preserve">Interest will be computed on the basis of a 360-day year consisting of twelve 30-day months. If any payment date with respect to the notes falls on a day that is not a business day, the payment will be made on the next business day, and no interest will accrue on the amount of interest due on that payment date for the period from and after the interest payment date, maturity date, or redemption date to the date of payment. Under the indenture, a business day is a day that is not a Saturday, a Sunday or a day on which banking institutions in the City of New York, New York or a place of payment are authorized or obligated by law, regulation or executive order to remain closed.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Issuances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without notice to or the consent of the holders of the notes, issue additional notes having the same terms as either series of notes offered by this prospectus supplement, except for the issue date, issue price, and in some cases, the first interest payment date. Additional notes issued in this manner will form a single series with the previously issued and outstanding notes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March 15, 2031, in the case of the 2031 notes (the “2031 Par Call Date”), and prior to November 15, 2055, in the case of the 2056 notes (the “2056 Par Call Date” and, together with the 2031 Par Call Date, each a “Par Call Date”), we may redeem the applicable notes at our option, in whole or in part, at any time and from time to time, at a redemption price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such notes matured on the applicable Par Call Date) on a semi-annual basis (assuming a 360-day year consisting of twelve 30-day months) at the Treasury Rate (as defined below) plus (i) 15 basis points, in the case of the 2031 notes, or (ii) 25 basis points, in the case of the 2056 notes,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applicable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with respect to a series of notes, we may redeem the notes of such series, in whole or in part, at any time and from time to time, at a redemption price equal to 100% of the principal amount of the notes being redeemed plus accrued and unpaid interest thereon to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with respect to the notes to be redeemed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Notes called for redemption will become due on the date fixed for redemption, subject to satisfaction of any conditions to such redemption. Notices of redemption will be sent at least 10 days but not more than 60 days before the redemption date to each holder of the notes to be redeemed. The notice of redemption for the notes to be redeemed will state, among other things, the amount of such notes to be redeemed, if less than all of the outstanding notes of such series are to be redeemed, the redemption date, the redemption price (or the method of calculating it) and each place that payment will be made upon presentation and surrender of the notes to be redeemed. Any such redemption may, at our discretion, be conditioned on the satisfaction or waiver of one or more conditions, including a sale of securities or other financing, in each case as specified in the notice to the trustee. A notice of conditional redemption will be of no effect unless all conditions to the redemption have occurred on or before the redemption date or have been waived by us on or before the redemption date. We will provide notice of any waiver of a condition or failure to meet such conditions no later than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interest will cease to accrue on any notes that have been called for redemption on the redemption date. If less than all the notes of a series are redeemed at any time, the trustee will select the notes of such series (or any portion of notes in integral multiples of $1,000) to be redeemed on a pro rata basis or by any other method the trustee deems fair and appropriate, but beneficial interests in notes in global form will be selected for redemption in accordance with DTC’s customary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have no responsibility for calculating the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Subsidiary Guarantees </w:t>
      </w:r>
    </w:p>
    <w:p>
      <w:pPr>
        <w:pStyle w:val="TextBody"/>
        <w:bidi w:val="0"/>
        <w:spacing w:before="120" w:after="0"/>
        <w:jc w:val="left"/>
        <w:rPr>
          <w:rFonts w:ascii="Times New Roman" w:hAnsi="Times New Roman"/>
          <w:sz w:val="20"/>
        </w:rPr>
      </w:pPr>
      <w:r>
        <w:rPr>
          <w:rFonts w:ascii="Times New Roman" w:hAnsi="Times New Roman"/>
          <w:sz w:val="20"/>
        </w:rPr>
        <w:t xml:space="preserve">The notes initially will be guaranteed by each of our subsidiaries that guarantees the Credit Agreement on the terms provided for in the base indenture attached to the accompanying base prospectus. None of our other subsidiaries will guarantee the notes upon their issuance; however, if at any time following the issuance of the notes, any subsidiary that is not already a guarantor of the notes guarantees any of our indebtedness under the Credit Agreement, then we will cause such subsidiary to execute and deliver to the trustee a supplemental indenture within 60 days after it guarantees such indebtedness under the Credit Agreement, pursuant to which such subsidiary will become a guarantor of the notes. The subsidiary guarantees will be joint and several obligations of the subsidiary guarantors. The obligations of each subsidiary guarantor under its subsidiary guarantee will be limited as necessary to prevent that subsidiary guarantee from constituting a fraudulent conveyance under applicable law. </w:t>
      </w:r>
    </w:p>
    <w:p>
      <w:pPr>
        <w:pStyle w:val="TextBody"/>
        <w:bidi w:val="0"/>
        <w:spacing w:before="240" w:after="0"/>
        <w:jc w:val="left"/>
        <w:rPr>
          <w:rFonts w:ascii="Times New Roman" w:hAnsi="Times New Roman"/>
          <w:sz w:val="20"/>
        </w:rPr>
      </w:pPr>
      <w:r>
        <w:rPr>
          <w:rFonts w:ascii="Times New Roman" w:hAnsi="Times New Roman"/>
          <w:sz w:val="20"/>
        </w:rPr>
        <w:t>The subsidiary guarantees may be released under certain circumstances which are described under the caption “</w:t>
      </w:r>
      <w:r>
        <w:rPr>
          <w:rFonts w:ascii="Times New Roman" w:hAnsi="Times New Roman"/>
          <w:i/>
          <w:sz w:val="20"/>
        </w:rPr>
        <w:t>Description of Debt Securities—The Subsidiary Guarantees</w:t>
      </w:r>
      <w:r>
        <w:rPr>
          <w:rFonts w:ascii="Times New Roman" w:hAnsi="Times New Roman"/>
          <w:sz w:val="20"/>
        </w:rPr>
        <w:t xml:space="preserve">” in the accompanying base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unsecured and unsubordinated obligations of Targa and will rank equally with all other existing and future unsubordinated indebtedness of Targa. The guarantee of the notes by any of our subsidiaries will be an unsecured and unsubordinated obligation of such subsidiary and will rank equally with all other existing and future unsecured and unsubordinated indebtedness of such subsidiary. The notes and each guarantee, if any, will effectively rank junior to any future indebtedness of Targa and any subsidiary that guarantees the notes that is both secured and unsubordinated to the extent of the value of the assets securing such indebtedness, and the notes will structurally rank junior to all indebtedness and other liabilities of Targa’s existing and future subsidiaries that do not guarantee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No Sinking Fund </w:t>
      </w:r>
    </w:p>
    <w:p>
      <w:pPr>
        <w:pStyle w:val="TextBody"/>
        <w:bidi w:val="0"/>
        <w:spacing w:before="120" w:after="0"/>
        <w:jc w:val="left"/>
        <w:rPr>
          <w:rFonts w:ascii="Times New Roman" w:hAnsi="Times New Roman"/>
          <w:sz w:val="20"/>
        </w:rPr>
      </w:pPr>
      <w:r>
        <w:rPr>
          <w:rFonts w:ascii="Times New Roman" w:hAnsi="Times New Roman"/>
          <w:sz w:val="20"/>
        </w:rPr>
        <w:t xml:space="preserve">We are not required to make any mandatory redemption or sinking fund payments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The notes will have the benefit of the covenants set forth under “</w:t>
      </w:r>
      <w:r>
        <w:rPr>
          <w:rFonts w:ascii="Times New Roman" w:hAnsi="Times New Roman"/>
          <w:i/>
          <w:sz w:val="20"/>
        </w:rPr>
        <w:t>Description of Debt Securities—Certain Covenants</w:t>
      </w:r>
      <w:r>
        <w:rPr>
          <w:rFonts w:ascii="Times New Roman" w:hAnsi="Times New Roman"/>
          <w:sz w:val="20"/>
        </w:rPr>
        <w:t xml:space="preserve">” in the accompanying base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the information in this section concerning The Depository Trust Company (“DTC”) and its book-entry systems and procedures from DTC, but we take no responsibility for the accuracy of this information. In addition, the description in this section reflects our understanding of the rules and procedures of DTC as they are currently in effect. DTC could change its rules and procedures at any time. Each series of the notes will initially be represented by one or more fully registered global notes. Each such global note will be deposited with, or on behalf of, DTC or any successor thereto and registered in the name of Cede &amp; Co. (DTC’s nominee). You may hold your interests in the global notes through DTC either as a participant in DTC or indirectly through organizations that are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 </w:t>
      </w:r>
    </w:p>
    <w:p>
      <w:pPr>
        <w:pStyle w:val="TextBody"/>
        <w:bidi w:val="0"/>
        <w:spacing w:before="240" w:after="0"/>
        <w:jc w:val="left"/>
        <w:rPr>
          <w:rFonts w:ascii="Times New Roman" w:hAnsi="Times New Roman"/>
          <w:sz w:val="20"/>
        </w:rPr>
      </w:pPr>
      <w:r>
        <w:rPr>
          <w:rFonts w:ascii="Times New Roman" w:hAnsi="Times New Roman"/>
          <w:i/>
          <w:sz w:val="20"/>
        </w:rPr>
        <w:t>The Depository Trust Company</w:t>
      </w:r>
      <w:r>
        <w:rPr>
          <w:rFonts w:ascii="Times New Roman" w:hAnsi="Times New Roman"/>
          <w:sz w:val="20"/>
        </w:rPr>
        <w:t xml:space="preserve">. DTC will act as securities depositary for the notes. The notes will be issued as fully registered notes registered in the name of Cede &amp; Co. DTC has advised us as follows: DTC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under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the provisions of Section 17A of the Securities Exchange Act of 1934.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of DTC include securities brokers and dealers (including the underwriters), banks, trust companies, clearing corporations, and certain other organizations. DTC is owned by a number of its direct participants. Access to the DTC system is also available to securities brokers and dealers, banks and trust companies that clear through or maintain a custodial relationship with a direct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a direct participant or an indirect participant and you wish to purchase, sell or otherwise transfer ownership of, or other interests in, notes, you must do so through a direct participant or an indirect participant. DTC agrees with and represents to DTC participants that it will administer its book-entry system in accordance with its rules and by-laws and requirements of law. The SEC has on file a set of the rules applicable to DTC and its 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Purchases of notes under DTC’s system must be made by or through direct participants, who will receive a credit for the notes on DTC’s records. The ownership interest of each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the notes, except in the event that use of the book-entry system for the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by direct participants with DTC are registered in the name of DTC’s nominee, Cede &amp; Co., or such other name as may be requested by an authorized representative of DTC. The deposit of notes with DTC and their registration in the name of Cede &amp; Co. do not effect any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i/>
          <w:sz w:val="20"/>
        </w:rPr>
        <w:t>Euroclear and Clearstream</w:t>
      </w:r>
      <w:r>
        <w:rPr>
          <w:rFonts w:ascii="Times New Roman" w:hAnsi="Times New Roman"/>
          <w:sz w:val="20"/>
        </w:rPr>
        <w:t xml:space="preserve">. If the depositary for a global debt security is DTC, you may hold interests in the global debt security through Clearstream Banking, société anonyme, which we refer to as “Clearstream,” or Euroclear Bank SA/NV,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 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 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 We have obtained the foregoing information concerning Euroclear and Clearstream from sources we believe to be reliable, but we take no responsibility for the accuracy of this information. </w:t>
      </w:r>
    </w:p>
    <w:p>
      <w:pPr>
        <w:pStyle w:val="TextBody"/>
        <w:bidi w:val="0"/>
        <w:spacing w:before="240" w:after="0"/>
        <w:jc w:val="left"/>
        <w:rPr>
          <w:rFonts w:ascii="Times New Roman" w:hAnsi="Times New Roman"/>
          <w:sz w:val="20"/>
        </w:rPr>
      </w:pPr>
      <w:r>
        <w:rPr>
          <w:rFonts w:ascii="Times New Roman" w:hAnsi="Times New Roman"/>
          <w:i/>
          <w:sz w:val="20"/>
        </w:rPr>
        <w:t>Book-Entry Format</w:t>
      </w:r>
      <w:r>
        <w:rPr>
          <w:rFonts w:ascii="Times New Roman" w:hAnsi="Times New Roman"/>
          <w:sz w:val="20"/>
        </w:rPr>
        <w:t xml:space="preserve">. Under the book-entry format, the trustee will pay interest or principal payments to Cede &amp; Co., as nominee of DTC. DTC will forward the payment to the direct participants, who will then forward the payment to the indirect participants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 </w:t>
      </w:r>
    </w:p>
    <w:p>
      <w:pPr>
        <w:pStyle w:val="TextBody"/>
        <w:bidi w:val="0"/>
        <w:spacing w:before="240" w:after="0"/>
        <w:jc w:val="left"/>
        <w:rPr>
          <w:rFonts w:ascii="Times New Roman" w:hAnsi="Times New Roman"/>
          <w:sz w:val="20"/>
        </w:rPr>
      </w:pPr>
      <w:r>
        <w:rPr>
          <w:rFonts w:ascii="Times New Roman" w:hAnsi="Times New Roman"/>
          <w:sz w:val="20"/>
        </w:rPr>
        <w:t xml:space="preserve">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the underwriters and the trustee under the indenture have no responsibility for any aspect of the actions of DTC or any of its direct or indirect participants. We, the underwriters and the trustee under the indenture have no responsibility or liability for any aspect of the records kept by DTC or any of its direct or indirect participants relating to, or payments made on account of, beneficial ownership interests in the notes or for maintaining, supervising or reviewing any records relating to such beneficial ownership interests.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such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DTC has agreed to the foregoing procedures in order to facilitate transfers of the notes among its participants. However, DTC is under no obligation to perform or continue to perform those procedures, and may discontinue those procedures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not cured or waived, the trustee is required to exercise such of the rights and powers vested in it by the indenture and use the same degree of care and skill in their exercise as a prudent man would exercise or use under the circumstances in the conduct of his own affairs. Subject to such provisions, the trustee will not be under any obligation to exercise any of its rights or powers under the indenture at the request of any of the holders of notes unless they have offered to the trustee reasonable security or indemnity against the costs, expenses and liabilities it may incur.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will be the trustee under the indenture and has been appointed by Targa as registrar and paying agent with regard to the notes. The trustee’s address is 13737 Noel Rd, Suite 800, Dallas, Texas 75240. The trustee and its affiliates maintain commercial banking and other relationships with Targa.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20596_6"/>
      <w:bookmarkEnd w:id="8"/>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material U.S. federal income tax consequences that may be relevant to the acquisition, ownership and disposition of the notes. This discussion is based upon the provisions of the Internal Revenue Code of 1986, as amended (the “Code”), applicable U.S. Treasury regulations promulgated thereunder, judicial authority and administrative interpretations, all as of the date of this prospectus supplement, and all of which are subject to change, possibly with retroactive effect, or are subject to differing interpretations. We cannot assure you that the Internal Revenue Service (the “IRS”) will not challenge one or more of the U.S. federal income tax consequences described in this discussion, and we have not obtained, nor do we intend to obtain, a ruling from the IRS or an opinion of counsel with respect to the U.S. federal income tax consequences of acquiring, owning or disposing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(as defined below) who purchase the notes in this offering for cash at a price equal to the issue price of the applicable series of notes (i.e., the first price at which a substantial amount of such series of the notes is sold for cash to investors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non-U.S., state, local or other jurisdiction or any income tax treaty. In addition, this discussion does not address all tax consequences that may be important to a particular holder in light of such holder’s circumstances, or to certain categories of investors that may be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have elected the mark-to-market method of accounting for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 hold the notes through non-U.S. brokers or other non-U.S. intermediaries;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notes as part of a hedge, straddle, conversion or other “synthetic security” or integrated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former U.S.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that are tax-exempt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notes through individual retirement accounts and other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to accelerate the recognition of any item of gross income with respect to the notes as a result of such income being recognized on an “applicable financial statement” (within the meaning of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entities treated as pass-through entities for U.S. federal income tax purposes (including S corporations) and holders of interests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purchase the notes in this offering and own indebtedness under the Commercial Paper Program or other indebtedness which is repaid with proceeds from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the notes under the constructive sale provisions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the notes, the U.S. federal income tax treatment of a partner of the partnership generally will depend upon the status of the partner and the activities of the partnership and upon certain determinations made at the partner level. Partnerships (or any entity or arrangement treated as a partnership for U.S. federal income tax purposes) considering an investment in the notes and the partners thereof should consult their own tax advisors as to the particular U.S. federal income tax consequences of acquiring, owning and disposing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“holder” means a U.S. holder or a non-U.S. holder (as defined below), as applicable.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NON-U.S. OR OTHER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Additional Payments </w:t>
      </w:r>
    </w:p>
    <w:p>
      <w:pPr>
        <w:pStyle w:val="TextBody"/>
        <w:bidi w:val="0"/>
        <w:spacing w:before="120" w:after="0"/>
        <w:jc w:val="left"/>
        <w:rPr>
          <w:rFonts w:ascii="Times New Roman" w:hAnsi="Times New Roman"/>
          <w:sz w:val="20"/>
        </w:rPr>
      </w:pPr>
      <w:r>
        <w:rPr>
          <w:rFonts w:ascii="Times New Roman" w:hAnsi="Times New Roman"/>
          <w:sz w:val="20"/>
        </w:rPr>
        <w:t>In certain circumstances (see “</w:t>
      </w:r>
      <w:r>
        <w:rPr>
          <w:rFonts w:ascii="Times New Roman" w:hAnsi="Times New Roman"/>
          <w:i/>
          <w:sz w:val="20"/>
        </w:rPr>
        <w:t>Description of the Notes—Optional Redemption</w:t>
      </w:r>
      <w:r>
        <w:rPr>
          <w:rFonts w:ascii="Times New Roman" w:hAnsi="Times New Roman"/>
          <w:sz w:val="20"/>
        </w:rPr>
        <w:t xml:space="preserve">”), we may elect to redeem the notes prior to maturity or to pay amounts on the notes that are in excess of the stated interest or principal on the notes. If any of those contingencies were to occur, it would affect the amount and timing of income recognized by you. Further, those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may take a different position, in which case, if the IRS’s position is sustained, you might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will apply to you if you are a U.S. holder of a note. You are a “U.S. holder” for purposes of this discussion if you are a beneficial owner of a note and you are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U.S. citizen or U.S. 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that was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that has one or more “United States persons” (within the meaning of Section 7701(a)(30) of the Code) that have the authority to control all substantial decisions of the trust, or (ii) that has made a valid election under applicable U.S. Treasury regulations to be treated as a United States person.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Stated 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Stated interest on the notes generally will be taxable to you as ordinary income at the time it is received or accrued in accordance with your regular method of accounting for U.S. federal income tax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Disposition of the Notes </w:t>
      </w:r>
    </w:p>
    <w:p>
      <w:pPr>
        <w:pStyle w:val="TextBody"/>
        <w:bidi w:val="0"/>
        <w:spacing w:before="120" w:after="0"/>
        <w:jc w:val="left"/>
        <w:rPr>
          <w:rFonts w:ascii="Times New Roman" w:hAnsi="Times New Roman"/>
          <w:sz w:val="20"/>
        </w:rPr>
      </w:pPr>
      <w:r>
        <w:rPr>
          <w:rFonts w:ascii="Times New Roman" w:hAnsi="Times New Roman"/>
          <w:sz w:val="20"/>
        </w:rPr>
        <w:t>You generally will recognize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a sale, redemption, exchange, retirement or other taxable disposition of a note is attributable to accrued but unpaid interest on the note, this amount generally will not be included in the “amount realized” but will instead be treated in the same manner as described above in “—Tax Consequences to U.S. Holders—</w:t>
      </w:r>
      <w:r>
        <w:rPr>
          <w:rFonts w:ascii="Times New Roman" w:hAnsi="Times New Roman"/>
          <w:i/>
          <w:sz w:val="20"/>
        </w:rPr>
        <w:t>Stated Interest on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Your adjusted tax basis in the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generally will apply to payments of interest on, and the proceeds of the sale or other taxable disposition (including a redemption, exchange or retirement) of, the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Tax on Net 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the notes, less certain deductions. You should consult your own tax advisor with respect to this additional tax and its applicability in your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will apply to you if you are a non-U.S. holder of a note. You are a “non-U.S. holder” for purposes of this discussion if you are a beneficial owner of a note that is, for U.S. federal income tax purposes, an individual, corporation, estate or trust that is not a 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of backup withholding and FATCA (as defined below) withholding, payments to you of interest on the notes generally will not be subject to U.S. federal income tax and will be exempt from withholding of U.S. federal income tax under the “portfolio interest” exemption if you properly certify as to your non-U.S. status, as described below,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own, actually or constructively, 10% or more of the total combined voting power of all classes of our stock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related to us (actually or constructively);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whose receipt of interest on the notes is in connection with an extension of credit made pursuant to a loan agreement entered into in the ordinary course of your trade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the notes is not effectively connected with your conduct of a U.S. trade or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portfolio interest exemption generally applies only if you certify as to your non-U.S. status prior to payment. You can generally meet this certification requirement by providing a properly executed IRS Form W-8BEN or IRS Form W-8BEN-E (or other applicable form or successor form) to the applicable withholding agent. If you hold the notes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non-U.S. partnerships, estates and trusts, and in certain circumstances certifications as to the non-U.S. status of partners, trust owners or beneficiaries may have to be provided to the applicable withholding agent. In addition, special rules apply to qualified intermediaries that enter into withholding agreements with the IRS. </w:t>
      </w:r>
    </w:p>
    <w:p>
      <w:pPr>
        <w:pStyle w:val="TextBody"/>
        <w:bidi w:val="0"/>
        <w:spacing w:before="240" w:after="0"/>
        <w:jc w:val="left"/>
        <w:rPr>
          <w:rFonts w:ascii="Times New Roman" w:hAnsi="Times New Roman"/>
          <w:sz w:val="20"/>
        </w:rPr>
      </w:pPr>
      <w:r>
        <w:rPr>
          <w:rFonts w:ascii="Times New Roman" w:hAnsi="Times New Roman"/>
          <w:sz w:val="20"/>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form or successor form), as applicable, claiming an exemption from (or a reduction of) withholding under the benefits of an applicable income tax treaty, or (ii) the payments of such interest are effectively connected with your conduct of a U.S. trade or business and you meet the certification requirements described below. See “—Tax Consequences to Non-U.S. Holders—</w:t>
      </w:r>
      <w:r>
        <w:rPr>
          <w:rFonts w:ascii="Times New Roman" w:hAnsi="Times New Roman"/>
          <w:i/>
          <w:sz w:val="20"/>
        </w:rPr>
        <w:t>Income or Gain Effectively Connected with a U.S. Trade or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 of) withholding under an applicable income tax treaty, you may obtain a refund of any excess amounts withheld if you timely provide the required information or appropriate claim form to the IRS. </w:t>
      </w:r>
    </w:p>
    <w:p>
      <w:pPr>
        <w:pStyle w:val="TextBody"/>
        <w:bidi w:val="0"/>
        <w:spacing w:before="360" w:after="0"/>
        <w:jc w:val="left"/>
        <w:rPr>
          <w:rFonts w:ascii="Times New Roman" w:hAnsi="Times New Roman"/>
          <w:i/>
          <w:sz w:val="20"/>
        </w:rPr>
      </w:pPr>
      <w:r>
        <w:rPr>
          <w:rFonts w:ascii="Times New Roman" w:hAnsi="Times New Roman"/>
          <w:i/>
          <w:sz w:val="20"/>
        </w:rPr>
        <w:t xml:space="preserve">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of backup withholding, you generally will not be subject to U.S. federal income tax on any gain recognized on the sale, redemption, exchange, retirement or other taxable disposition of a note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U.S. trade or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has been present in the United States for 183 days or more in the taxable year of disposition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If your gain is described in the first bullet point above, you generally will be subject to U.S. federal income tax in the manner described below under “ —Tax Consequences to Non-U.S. Holders—</w:t>
      </w:r>
      <w:r>
        <w:rPr>
          <w:rFonts w:ascii="Times New Roman" w:hAnsi="Times New Roman"/>
          <w:i/>
          <w:sz w:val="20"/>
        </w:rPr>
        <w:t>Income or Gain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Effectively Connected with a U.S. Trade or Business.</w:t>
      </w:r>
      <w:r>
        <w:rPr>
          <w:rFonts w:ascii="Times New Roman" w:hAnsi="Times New Roman"/>
          <w:sz w:val="20"/>
        </w:rPr>
        <w:t>” If you are a non-U.S. holder described in the second bullet point above, you will be subject to a U.S. federal income tax at a 30% rate (or a lower applicable income tax treaty rate) on the gain derived from the sale or other taxable disposition of a note, which gain may be offset by certain U.S. source capital losses. To the extent that any portion of the amount recognized on a sale, redemption, exchange, retirement or other taxable disposition of a note is attributable to accrued but unpaid interest on the note, this amount generally will be treated in the same manner as described above in “—Tax Consequences to Non-U.S. Holders—</w:t>
      </w:r>
      <w:r>
        <w:rPr>
          <w:rFonts w:ascii="Times New Roman" w:hAnsi="Times New Roman"/>
          <w:i/>
          <w:sz w:val="20"/>
        </w:rPr>
        <w:t>Interest on the Notes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Income or Gain Effectively Connected with a U.S. Trade or Business </w:t>
      </w:r>
    </w:p>
    <w:p>
      <w:pPr>
        <w:pStyle w:val="TextBody"/>
        <w:bidi w:val="0"/>
        <w:spacing w:before="120" w:after="0"/>
        <w:jc w:val="left"/>
        <w:rPr>
          <w:rFonts w:ascii="Times New Roman" w:hAnsi="Times New Roman"/>
          <w:sz w:val="20"/>
        </w:rPr>
      </w:pPr>
      <w:r>
        <w:rPr>
          <w:rFonts w:ascii="Times New Roman" w:hAnsi="Times New Roman"/>
          <w:sz w:val="20"/>
        </w:rPr>
        <w:t xml:space="preserve">If any interest on the notes or gain from the sale, redemption, exchange, retirement or other taxable disposition of the notes is effectively connected with your conduct of a U.S. trade or business, then the interest income or gain will be subject to U.S. federal income tax at regular U.S. federal income tax rates generally in the same manner as if you were a U.S. holder, unless an applicable income tax treaty provides otherwise. Effectively connected interest income that is subject to U.S. federal income tax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effectively connected earnings and profits if the interest or gain is effectively connected with your conduct of a U.S. trade or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an applicable specific treaty or agreement. </w:t>
      </w:r>
    </w:p>
    <w:p>
      <w:pPr>
        <w:pStyle w:val="TextBody"/>
        <w:bidi w:val="0"/>
        <w:spacing w:before="240" w:after="0"/>
        <w:jc w:val="left"/>
        <w:rPr>
          <w:rFonts w:ascii="Times New Roman" w:hAnsi="Times New Roman"/>
          <w:sz w:val="20"/>
        </w:rPr>
      </w:pPr>
      <w:r>
        <w:rPr>
          <w:rFonts w:ascii="Times New Roman" w:hAnsi="Times New Roman"/>
          <w:sz w:val="20"/>
        </w:rPr>
        <w:t>Backup withholding generally will not apply to payments to you of interest on a note if the certification described in “—Tax Consequences to Non-U.S. Holders—</w:t>
      </w:r>
      <w:r>
        <w:rPr>
          <w:rFonts w:ascii="Times New Roman" w:hAnsi="Times New Roman"/>
          <w:i/>
          <w:sz w:val="20"/>
        </w:rPr>
        <w:t>Interest on the Notes</w:t>
      </w:r>
      <w:r>
        <w:rPr>
          <w:rFonts w:ascii="Times New Roman" w:hAnsi="Times New Roman"/>
          <w:sz w:val="20"/>
        </w:rPr>
        <w:t xml:space="preserve">” is duly provided or you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proceeds from the sale or other taxable disposition (including a redemption, exchange or retirement) of a note effected by the U.S. office of a U.S. or non-U.S. broker will be subject to information reporting requirements and backup withholding unless you properly certify under penalties of perjury as to your non-U.S.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non-U.S. office of a broker. However, unless such a broker has documentary evidence in its records that you are not a United States person and certain other conditions are met, or you otherwise establish an exemption, information reporting will apply to a payment of the proceeds of the taxable disposition of a note effected outside the United States by such a broker if it has certain relationships with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Withholding on Payments to Certain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proposed U.S. Treasury regulations provide that such payments of gross proceeds (other than amounts treated as interest) do not constitute withholdable payments. Taxpayers generally may rely on these proposed U.S. Treasury regulations until they are revoked or final U.S.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Foreign financial institutions located in jurisdictions that have an intergovernmental agreement with the United States with respect to these rules may be subject to different rules. Under certain circumstances, a holder of the notes might be eligible for refunds or credits of such taxes. You should consult your own tax advisor regarding the effects of FATCA on your investment in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MATERIAL U.S. FEDERAL INCOME TAX CONSEQUENCES IS FOR INFORMATIONAL PURPOSES ONLY AND IS NOT TAX ADVICE. YOU SHOULD CONSULT YOUR OWN TAX ADVISOR REGARDING THE PARTICULAR U.S. FEDERAL, STATE, LOCAL AND NON-U.S. TAX CONSEQUENCES OF ACQUIRING, OWNING AND DISPOSING OF THE NOTES,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20596_7"/>
      <w:bookmarkEnd w:id="9"/>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MUFG Securities Americas Inc., PNC Capital Markets LLC, TD Securities (USA) LLC and Wells Fargo Securities,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principal amount of notes set forth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1"/>
        <w:gridCol w:w="388"/>
        <w:gridCol w:w="140"/>
        <w:gridCol w:w="1397"/>
        <w:gridCol w:w="60"/>
        <w:gridCol w:w="388"/>
        <w:gridCol w:w="140"/>
        <w:gridCol w:w="1397"/>
        <w:gridCol w:w="64"/>
      </w:tblGrid>
      <w:tr>
        <w:trPr/>
        <w:tc>
          <w:tcPr>
            <w:tcW w:w="3781"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88"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br/>
              <w:t>Amount of</w:t>
            </w:r>
            <w:r>
              <w:rPr/>
              <w:br/>
            </w:r>
            <w:r>
              <w:rPr>
                <w:b/>
              </w:rPr>
              <w:t>2031 Notes</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br/>
              <w:t>Amount of</w:t>
            </w:r>
            <w:r>
              <w:rPr/>
              <w:br/>
            </w:r>
            <w:r>
              <w:rPr>
                <w:b/>
              </w:rPr>
              <w:t>2056 Notes</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87,000,000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87,000,000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87,000,000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87,000,000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87,000,000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87,000,000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87,000,000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87,000,000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42,375,000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42,375,000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42,375,000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42,375,000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42,375,000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42,375,000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42,375,000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42,375,000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42,375,000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42,375,000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31,725,000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31,725,000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31,725,000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31,725,000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31,725,000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31,725,000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31,725,000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31,725,000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31,725,000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31,725,000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Comerica Securities,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10,500,000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10,500,000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10,500,000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10,500,000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Zions Direct,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10,500,000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10,500,000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750,000,000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750,000,000</w:t>
            </w:r>
          </w:p>
        </w:tc>
        <w:tc>
          <w:tcPr>
            <w:tcW w:w="64"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(as defined below),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notes to the public at the public offering price set forth on the cover page of this prospectus supplement and to certain dealers at such price less a concession not in excess of 0.350% of the principal amount of the 2031 notes or 0.525% of the principal amount of the 2056 notes. The underwriters may allow, and dealers may re-allow, a concession not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excess of 0.250% of the principal amount of the 2056 notes and 0.350% of the principal amount of the 2056 notes, in each case, to other dealers. After the initial offering, the public offering price, concession or any other term of the offering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estimated at approximately $1.4 million and are payable by us. </w:t>
      </w:r>
    </w:p>
    <w:p>
      <w:pPr>
        <w:pStyle w:val="TextBody"/>
        <w:bidi w:val="0"/>
        <w:spacing w:before="360" w:after="0"/>
        <w:jc w:val="left"/>
        <w:rPr>
          <w:rFonts w:ascii="Times New Roman" w:hAnsi="Times New Roman"/>
          <w:b/>
          <w:sz w:val="20"/>
        </w:rPr>
      </w:pPr>
      <w:r>
        <w:rPr>
          <w:rFonts w:ascii="Times New Roman" w:hAnsi="Times New Roman"/>
          <w:b/>
          <w:sz w:val="20"/>
        </w:rPr>
        <w:t xml:space="preserve">New Issue of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are a new issue of securities with no established trading market. We do not intend to apply for listing of the notes on any national securities exchange or for inclusion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on the cover page of this prospectus supplement, which will be the third business day following the date of the pricing of the notes. Under Rule 15c6-1 of the Exchange Act, trades in the secondary market generally are required to settle in one business day, unless the parties to a trade expressly agree otherwise. Accordingly, purchasers who wish to trade notes prior to the business day before the settlement date will be required, by virtue of the fact that the notes initially will settle in T+3, to specify alternative settlement arrangements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underwriters may purchase and sell the notes in the open market. These transactions may include short sales, purchases on the open market to cover positions created by short sales and stabilizing transactions. Short sales involve the sale by the underwriters of a greater number of notes than they are required to purchase in the offering. Stabilizing transactions consist of various bids for or purchases of notes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These transactions may be effected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respective affiliates are lenders under our revolving credit facility and/or are dealers under the Commercial Paper Program. Accordingly, to the extent proceeds are used to repay borrowings under our revolving credit facility and/or the Commercial Paper Program, such underwriters or affiliates may receive a portion of any net proceeds from this offering. Moreover, we have entered into derivative financial transactions with affiliates of certain of the underwriters. For a description of these transactions, see “</w:t>
      </w:r>
      <w:r>
        <w:rPr>
          <w:rFonts w:ascii="Times New Roman" w:hAnsi="Times New Roman"/>
          <w:i/>
          <w:sz w:val="20"/>
        </w:rPr>
        <w:t>Quantitative and Qualitative Disclosures About Market Risk—Commodity Price Risk</w:t>
      </w:r>
      <w:r>
        <w:rPr>
          <w:rFonts w:ascii="Times New Roman" w:hAnsi="Times New Roman"/>
          <w:sz w:val="20"/>
        </w:rPr>
        <w:t xml:space="preserve">” in our Annual Report on Form 10-K for the year ended December 31, 2025. We have entered into these derivative financial transactions on terms we believe to be customary in connection with these transactions. In addition, U.S. Bancorp Investments, Inc., one of the underwriters, is an affiliate of the trustee under the indenture governing the notes.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underwriters or their affiliates have a lending relationship with us, certain of the underwriters or their affiliates routinely hedge, certain other of the underwriters or their affiliates are likely to hedge and certain other of the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Certain of the underwriters and/or their respective affiliates are lenders under our revolving credit facility and/or are dealers under the Commercial Paper Program. Because certain of the underwriters and/or their affiliates are expected to receive at least 5% of the net proceeds of this offering, such underwriters and/or their affiliates could be deemed to have a “conflict of interest” under Rule 5121. See “</w:t>
      </w:r>
      <w:r>
        <w:rPr>
          <w:rFonts w:ascii="Times New Roman" w:hAnsi="Times New Roman"/>
          <w:i/>
          <w:sz w:val="20"/>
        </w:rPr>
        <w:t>Use of Proceeds</w:t>
      </w:r>
      <w:r>
        <w:rPr>
          <w:rFonts w:ascii="Times New Roman" w:hAnsi="Times New Roman"/>
          <w:sz w:val="20"/>
        </w:rPr>
        <w:t xml:space="preserve">.”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the issuer and will not be responsible to anyone other than the issuer for providing the protections afforded to their clients nor for providing advice in relation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above selling restriction is in addition to any other selling restrictions set out below.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Public Offers and Admissions to Trading Regulations 2024 (the “POATRs”).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have been prepared on the basis that any offer of notes in the UK will be made pursuant to an exception from the prohibition on offers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and the accompanying prospectus are being distributed only to, and is directed only at, persons who are “qualified investors” (as defined in paragraph 15 of Schedule 1 to the POATRs) who are (i) persons having professional experience in matters relating to investments falling within Article 19(5) of the Financial Services and Markets Act 2000 (Financial Promotion) Order 2005 (as amended, the “Order”), or (ii) persons falling within Article 49(2)(a) to (d) (“high net worth companies, unincorporated associations etc.”) of the Order, or (iii)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In the UK, any investment or investment activity to which this prospectus supplement and the accompanying prospectus relate is available only to, and will be engaged in only with, Relevant Persons. This prospectus supplement and the accompanying prospectus and their contents are confidential and should not be distributed, published or reproduced (in whole or in part) or disclosed by any recipients to any other person in the UK. Any person in the UK that is not a Relevant Person should not act or rely on this prospectus supplement and the accompanying prospectus or its contents.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before="32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reviewed, approved or licensed by the Central Bank of the United Arab Emirates (the “UAE”), the Emirates Securities and Commodities Authority (the “SCA”) or any other relevant licensing authority in the UAE including any licensing authority incorporated under the laws and regulations of any of the free zones established and operating in the UAE including, without limitation, the Dubai Financial Services Authority (the “DFSA”), a regulatory authority of the Dubai International Financial Centre (the “DIFC”).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not intended to, and do not, constitute an offer, sale or delivery of notes or other securities under the laws of the UAE. Each underwriter has represented and agreed that the notes have not been and will not be registered with the SCA or the UAE Central Bank, the Dubai Financial Market, the Abu Dhabi Securities Market or any other UAE regulatory authority or exchange. The issue and/or sale of the notes has not been approved or licensed by the SCA, the UAE Central Bank or any other relevant licensing authority in the UAE, and does not constitute a public offer of securities in the UAE in accordance with the Commercial Companies Law, Federal Law No. 1 of 2015 (as amended) or otherwise, does not constitute an offer in the UAE in accordance with the Board Decision No. 37 of 2012 Concerning the Regulation of Investment Funds (whether by a Foreign Fund, as defined therein, or otherwise), and further does not constitute the brokerage of securities in the UAE in accordance with the Board Decision No. 27 of 2014 Concerning Brokerage in Securities. </w:t>
      </w:r>
    </w:p>
    <w:p>
      <w:pPr>
        <w:pStyle w:val="TextBody"/>
        <w:bidi w:val="0"/>
        <w:spacing w:before="320" w:after="0"/>
        <w:jc w:val="left"/>
        <w:rPr>
          <w:rFonts w:ascii="Times New Roman" w:hAnsi="Times New Roman"/>
          <w:b/>
          <w:sz w:val="20"/>
        </w:rPr>
      </w:pPr>
      <w:r>
        <w:rPr>
          <w:rFonts w:ascii="Times New Roman" w:hAnsi="Times New Roman"/>
          <w:b/>
          <w:sz w:val="20"/>
        </w:rPr>
        <w:t xml:space="preserve">Notice to Prospective Investors in Bermuda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the issuer’s obligations pursuant to Sections 309B(1)(a) and 309B(1)(c) of the SFA, the issuer has determined, and hereby notifies all relevant persons (as defined in Section 309A of the SFA) that the securities are a “prescribed capital markets product” (as defined in the Securities and Futures (Capital Markets Products) Regulations 2018) and an Excluded Investment Product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“Financial Instruments and Exchange Act”) and each underwriter has represented and agreed that it has not offered or sold and will not offer or sell any notes, directly or indirectly, in Japan or to, or for the benefit of, any resident of Japan (as defined under Item 5, Paragraph 1, Article 6 of the Foreign Exchange and Foreign Trade Act (Act No. 228 of 1949, as amended)), or to others for re-offering or resale, directly or indirectly, in Japan or to, or for the benefit of, a resident of Japan, except in each case (i) pursuant to an exemption from the registration requirements of, and otherwise in compliance with, the Financial Instruments and Exchange Act and (ii) in compliance with any other applicable laws, regulations and ministerial guidelines of Japan in effect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requires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notes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Abu Dhabi Global Market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notes have not been listed on any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20596_8"/>
      <w:bookmarkEnd w:id="10"/>
      <w:r>
        <w:rPr>
          <w:rFonts w:ascii="Times New Roman" w:hAnsi="Times New Roman"/>
          <w:b/>
          <w:sz w:val="20"/>
        </w:rPr>
        <w:t xml:space="preserve">LEGAL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legality of the notes being offered hereby will be passed upon for us by Vinson &amp; Elkins L.L.P., Houston, Texas. Certain legal matters with respect to the legality of the notes being offered hereby will be passed upon for the underwriters by Gibson, Dunn &amp; Crutcher LLP, Dallas, Texas. </w:t>
      </w:r>
    </w:p>
    <w:p>
      <w:pPr>
        <w:pStyle w:val="TextBody"/>
        <w:bidi w:val="0"/>
        <w:spacing w:before="480" w:after="0"/>
        <w:jc w:val="center"/>
        <w:rPr>
          <w:rFonts w:ascii="Times New Roman" w:hAnsi="Times New Roman"/>
          <w:b/>
          <w:sz w:val="20"/>
        </w:rPr>
      </w:pPr>
      <w:bookmarkStart w:id="11" w:name="supptx20596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x20596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periodic reports, current reports, proxy statements and other information with the SEC. Our SEC filings are available on the SEC’s website at http://</w:t>
      </w:r>
      <w:r>
        <w:rPr>
          <w:rFonts w:ascii="Times New Roman" w:hAnsi="Times New Roman"/>
          <w:i/>
          <w:sz w:val="20"/>
        </w:rPr>
        <w:t>www.sec.gov</w:t>
      </w:r>
      <w:r>
        <w:rPr>
          <w:rFonts w:ascii="Times New Roman" w:hAnsi="Times New Roman"/>
          <w:sz w:val="20"/>
        </w:rPr>
        <w:t>. We also make available free of charge on our website, at http://</w:t>
      </w:r>
      <w:r>
        <w:rPr>
          <w:rFonts w:ascii="Times New Roman" w:hAnsi="Times New Roman"/>
          <w:i/>
          <w:sz w:val="20"/>
        </w:rPr>
        <w:t>www.targaresources.com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can also obtain information about us at the office of the NYSE, 20 Broad Street, New York, New York 10005.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information into this prospectus supplement and the accompanying base prospectus, which means that we disclose important information to you by referring you to another document filed separately with the SEC. The information incorporated by reference is deemed to be part of this prospectus supplement and the accompanying base prospectus, except for any information superseded by information contained expressly in this prospectus supplement or the accompanying base prospectus, and the information we file later with the SEC will automatically supersede this information. You should not assume that (i) the information incorporated by reference in this prospectus supplement and the accompanying base prospectus is accurate as of any date other than the respective date of the documents incorporated by reference or (ii) the information contained in this prospectus supplement and the accompanying base prospectus is accurate as of any date other that the date on the front page of this prospectus supplement or the accompanying base prospectus,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supplement the documents listed below and any future filings made by Targa Resources Corp. with the SEC under Section 13(a), 13(c), 14 or 15(d) of the Exchange Act (excluding any information furnished and not filed pursuant to 2.02 or 7.01 on any Current Report on Form 8-K), including all such documents we may file with the SEC from the date of this prospectus supplement until the termination of each offering under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can obtain copies of any of these documents, and any exhibit specifically incorporated by reference in those documents, without charge upon written or oral request by requesting them in writing or by telephone at: </w:t>
      </w:r>
    </w:p>
    <w:p>
      <w:pPr>
        <w:pStyle w:val="TextBody"/>
        <w:bidi w:val="0"/>
        <w:spacing w:before="120" w:after="0"/>
        <w:jc w:val="center"/>
        <w:rPr>
          <w:rFonts w:ascii="Times New Roman" w:hAnsi="Times New Roman"/>
          <w:sz w:val="20"/>
        </w:rPr>
      </w:pPr>
      <w:r>
        <w:rPr>
          <w:rFonts w:ascii="Times New Roman" w:hAnsi="Times New Roman"/>
          <w:sz w:val="20"/>
        </w:rPr>
        <w:t xml:space="preserve">Targa Resources Corp. </w:t>
      </w:r>
    </w:p>
    <w:p>
      <w:pPr>
        <w:pStyle w:val="TextBody"/>
        <w:bidi w:val="0"/>
        <w:spacing w:before="0" w:after="0"/>
        <w:jc w:val="center"/>
        <w:rPr>
          <w:rFonts w:ascii="Times New Roman" w:hAnsi="Times New Roman"/>
          <w:sz w:val="20"/>
        </w:rPr>
      </w:pPr>
      <w:r>
        <w:rPr>
          <w:rFonts w:ascii="Times New Roman" w:hAnsi="Times New Roman"/>
          <w:sz w:val="20"/>
        </w:rPr>
        <w:t xml:space="preserve">811 Louisiana St., Suite 2100 </w:t>
      </w:r>
    </w:p>
    <w:p>
      <w:pPr>
        <w:pStyle w:val="TextBody"/>
        <w:bidi w:val="0"/>
        <w:spacing w:before="0" w:after="0"/>
        <w:jc w:val="center"/>
        <w:rPr>
          <w:rFonts w:ascii="Times New Roman" w:hAnsi="Times New Roman"/>
          <w:sz w:val="20"/>
        </w:rPr>
      </w:pPr>
      <w:r>
        <w:rPr>
          <w:rFonts w:ascii="Times New Roman" w:hAnsi="Times New Roman"/>
          <w:sz w:val="20"/>
        </w:rPr>
        <w:t xml:space="preserve">Houston, Texas 77002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(713) 584-1000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t>
      </w:r>
      <w:r>
        <w:rPr>
          <w:rFonts w:ascii="Times New Roman" w:hAnsi="Times New Roman"/>
          <w:i/>
          <w:sz w:val="20"/>
        </w:rPr>
        <w:t>www.targaresources.com</w:t>
      </w:r>
      <w:r>
        <w:rPr>
          <w:rFonts w:ascii="Times New Roman" w:hAnsi="Times New Roman"/>
          <w:sz w:val="20"/>
        </w:rPr>
        <w:t xml:space="preserve">. However, the information on our website is not part of this prospectus supplement or the accompanying base prospectus and is not incorporated by reference into this prospectus supplement or the accompanying base prospectus, and you should rely only on information contained or incorporated by reference in this prospectus supplement and the accompanying base prospectus when making a decision as to whether or not to invest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x20596_11"/>
      <w:bookmarkEnd w:id="1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Some of the information included in this prospectus supplement contains our reports, filings and other public announcements, which may from time to time contain statements that do not directly or exclusively relate to historical facts. Such statements are “forward-looking statements.” You can typically identify forward-looking statements within the meaning of Section 27A of the Securities Act of 1933, as amended (the “Securities Act”), and Section 21E of the Exchange Act by the use of forward-looking statements, such as “may,” “could,” “project,” “believe,” “anticipate,” “expect,” “estimate,” “potential,” “plan,” “forecast” and other similar words.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that are not statements of historical facts, including statements regarding our future financial position, business strategy, budgets, projected costs and plans and objectives of management for future operations, are forward-looking statements. </w:t>
      </w:r>
    </w:p>
    <w:p>
      <w:pPr>
        <w:pStyle w:val="TextBody"/>
        <w:bidi w:val="0"/>
        <w:spacing w:before="240" w:after="0"/>
        <w:jc w:val="left"/>
        <w:rPr>
          <w:rFonts w:ascii="Times New Roman" w:hAnsi="Times New Roman"/>
          <w:sz w:val="20"/>
        </w:rPr>
      </w:pPr>
      <w:r>
        <w:rPr>
          <w:rFonts w:ascii="Times New Roman" w:hAnsi="Times New Roman"/>
          <w:sz w:val="20"/>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w:t>
      </w:r>
      <w:r>
        <w:rPr>
          <w:rFonts w:ascii="Times New Roman" w:hAnsi="Times New Roman"/>
          <w:i/>
          <w:sz w:val="20"/>
        </w:rPr>
        <w:t>Risk Factors</w:t>
      </w:r>
      <w:r>
        <w:rPr>
          <w:rFonts w:ascii="Times New Roman" w:hAnsi="Times New Roman"/>
          <w:sz w:val="20"/>
        </w:rPr>
        <w:t xml:space="preserve">,” the risks set forth in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in this prospectus supplement, as well as the following risks and uncertainties: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and success of crude oil and natural gas drilling around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other countries with significant hydrocarbon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extent of changes in natural gas, natural gas liquids, crude oil and other commodity prices, interest rates and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through internal growth capital projects or acquisitions and the successful integration and future performance of such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of business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timely obtain and maintain necessary licenses, permits and other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changes, including the impact of consolidation, changes in competition and any increase in the use of alternative forms of energy for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downside commodity price volatility from a variety of potential factors that can result in lower activity in our areas of operation;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risk management activities, including the use of derivative instruments to hedge commodity price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market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significant public health crises and their impact on demand for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and other natural phenomena, and related impacts;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the capital markets on favorable terms, or at all, which depends on general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creditworthiness of our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particularly with regard to taxes, tariffs and international trade, safety and the protection of the environment;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described elsewhere in this prospectus supplement and in the documents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You should read these forward-looking statements carefully because they discuss our expectations about our future performance, our future operating results or our future financial condition, or state other “forward-looking” information. Before you invest, you should be aware that the occurrence of any of the events described in “</w:t>
      </w:r>
      <w:r>
        <w:rPr>
          <w:rFonts w:ascii="Times New Roman" w:hAnsi="Times New Roman"/>
          <w:i/>
          <w:sz w:val="20"/>
        </w:rPr>
        <w:t>Risk Factors</w:t>
      </w:r>
      <w:r>
        <w:rPr>
          <w:rFonts w:ascii="Times New Roman" w:hAnsi="Times New Roman"/>
          <w:sz w:val="20"/>
        </w:rPr>
        <w:t xml:space="preserve">” or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herein,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 </w:t>
      </w:r>
    </w:p>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 risks or uncertainties described in this prospectus supplement or the documents incorporated by reference herein occur, or should underlying assumptions prove incorrect, our actual results and plans could differ materially from those expressed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contained in this prospectus supplement and all subsequent written and oral forward-looking statements attributable to us or persons acting on our behalf are expressly qualified in their entirety by this cautionary statement.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applicable law, we disclaim any duty to update any forward-looking statements, all of which are expressly qualified by the statements in this section, to reflect events or circumstances after the date of this prospectus supplement.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7425" cy="6292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2257425" cy="6292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Targa Resources Corp.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listed above from time to time in one or more offerings. Any debt securities we offer pursuant to this prospectus may be fully and unconditionally guaranteed by certain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may be offered. Each time securities are offered, we will provide a prospectus supplement and attach it to this prospectus. The prospectus supplement will contain more specific information about the offering and the terms of the securities being offered. A prospectus supplement may also add, update or change information contained in this prospectus. This prospectus may not be used to offer or sell securities without a prospectus supplement describing the method and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directly or through agents, underwriters or dealers, or through a combination of these methods, on a continuous or delayed basis. See “Plan of Distribution.” The prospectus supplement will list any agents, underwriters or dealers that may be involved and the compensation they will receive. The prospectus supplement will also show you the total amount of money that we will receive from selling the securities being offered, after the expenses of the offering. You should carefully read this prospectus and any accompanying prospectus supplement, together with the documents we incorporate by reference, before you invest in any of our securities. </w:t>
      </w:r>
    </w:p>
    <w:p>
      <w:pPr>
        <w:pStyle w:val="TextBody"/>
        <w:bidi w:val="0"/>
        <w:spacing w:before="240" w:after="0"/>
        <w:jc w:val="left"/>
        <w:rPr/>
      </w:pPr>
      <w:r>
        <w:rPr>
          <w:rFonts w:ascii="Times New Roman" w:hAnsi="Times New Roman"/>
          <w:b/>
          <w:sz w:val="24"/>
        </w:rPr>
        <w:t>Investing in any of our securities involves risks. Please read carefully the information included and incorporated by reference in this prospectus and in any applicable prospectus supplement for a discussion of the factors you should consider before deciding to purchase our securities. See “</w:t>
      </w:r>
      <w:hyperlink w:anchor="rom20596_5">
        <w:r>
          <w:rPr>
            <w:rStyle w:val="InternetLink"/>
            <w:rFonts w:ascii="Times New Roman" w:hAnsi="Times New Roman"/>
            <w:b/>
            <w:sz w:val="24"/>
          </w:rPr>
          <w:t>Risk Factors</w:t>
        </w:r>
      </w:hyperlink>
      <w:r>
        <w:rPr>
          <w:rFonts w:ascii="Times New Roman" w:hAnsi="Times New Roman"/>
          <w:b/>
          <w:sz w:val="24"/>
        </w:rPr>
        <w:t xml:space="preserve">” on page 6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“TRGP.”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This prospectus is dated March 21,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2">
              <w:r>
                <w:rPr>
                  <w:rStyle w:val="InternetLink"/>
                  <w:rFonts w:ascii="Times New Roman" w:hAnsi="Times New Roman"/>
                  <w:sz w:val="20"/>
                </w:rPr>
                <w:t>TARGA RESOURCES CORP.</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4">
              <w:r>
                <w:rPr>
                  <w:rStyle w:val="InternetLink"/>
                  <w:rFonts w:ascii="Times New Roman" w:hAnsi="Times New Roman"/>
                  <w:sz w:val="20"/>
                </w:rPr>
                <w:t>CAUTIONARY STATEMENT ABOUT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9">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10">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11">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20596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or any prospectus supplement. We have not authorized anyone to provide you with additional or different information, and we take no responsibility for, and can provide no assurance as to the reliability of, any other information that others may give you. If anyone provides you with different or inconsistent information, you should not rely on it.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is not an offer to sell or the solicitation of an offer to buy any securities other than the securities to which they relate and is not an offer to sell or the solicitation of an offer to buy securities in any jurisdiction to any person to whom it is unlawful to make an offer or solicitation in that jurisdiction. You should not assume that the information contained in this prospectus or any prospectus supplement is accurate as of any date other than the date on the front cover of those documents. You should not assume that the information contained in the documents incorporated by reference in this prospectus or any prospectus supplement is accurate as of any date other than the respective dates of those documents.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rom20596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U.S. Securities and Exchange Commission, or “SEC,” using a “shelf” registration process. Under this shelf registration process, we may, from time to time, offer and sell any combination of the securities described in this prospectus in one or more offerings. This prospectus provides you with a general description of the securities we may offer. Each time we sell securities, we will provide you with this prospectus and a prospectus supplement that will contain specific information about the terms of the offering and the offered securities. That prospectus supplement may also add, update or change information contained in this prospectus. Any statement that we make in this prospectus will be modified or superseded by any inconsistent statement made by us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including our consolidated financial statements and the notes thereto, is incorporated in this prospectus by reference to our reports filed with the SEC. Please read “Where You Can Find More Information” below. You are urged to read this prospectus carefully, including “Risk Factors,” and the documents incorporated by reference in their entirety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or unless otherwise noted, all references in this prospectus or any accompanying prospectus supplement to “TRC” and to the “Company,” “Targa,” “we” or “us” are to Targa Resources Corp.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rom20596_2"/>
      <w:bookmarkEnd w:id="16"/>
      <w:r>
        <w:rPr>
          <w:rFonts w:ascii="Times New Roman" w:hAnsi="Times New Roman"/>
          <w:b/>
          <w:sz w:val="20"/>
        </w:rPr>
        <w:t xml:space="preserve">TARGA RESOURCES CORP. </w:t>
      </w:r>
    </w:p>
    <w:p>
      <w:pPr>
        <w:pStyle w:val="TextBody"/>
        <w:bidi w:val="0"/>
        <w:spacing w:before="240" w:after="0"/>
        <w:jc w:val="left"/>
        <w:rPr>
          <w:rFonts w:ascii="Times New Roman" w:hAnsi="Times New Roman"/>
          <w:sz w:val="20"/>
        </w:rPr>
      </w:pPr>
      <w:r>
        <w:rPr>
          <w:rFonts w:ascii="Times New Roman" w:hAnsi="Times New Roman"/>
          <w:sz w:val="20"/>
        </w:rPr>
        <w:t xml:space="preserve">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 The Company is primarily engaged in the business of: (i) gathering, compressing, treating, processing, transporting and purchasing and selling natural gas; (ii) transporting, storing, fractionating, treating and purchasing and selling natural gas liquids (“NGL(s)”) and NGL products, including services to liquified petroleum gas exporters; and (iii) gathering, storing, terminaling and purchasing and selling crude oil. Our principal executive offices are located at 811 Louisiana St., Suite 2100, Houston, Texas 77002, and our telephone number at that location is (713) 584-1000. Our common stock is listed on the NYSE under the symbol “TRGP.”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rom20596_3"/>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periodic reports, current reports, proxy statements and other information with the SEC. Our SEC filings are available on the SEC’s website at </w:t>
      </w:r>
      <w:r>
        <w:rPr>
          <w:rFonts w:ascii="Times New Roman" w:hAnsi="Times New Roman"/>
          <w:i/>
          <w:sz w:val="20"/>
        </w:rPr>
        <w:t>http://www.sec.gov</w:t>
      </w:r>
      <w:r>
        <w:rPr>
          <w:rFonts w:ascii="Times New Roman" w:hAnsi="Times New Roman"/>
          <w:sz w:val="20"/>
        </w:rPr>
        <w:t xml:space="preserve">. We also make available free of charge on our website, at </w:t>
      </w:r>
      <w:r>
        <w:rPr>
          <w:rFonts w:ascii="Times New Roman" w:hAnsi="Times New Roman"/>
          <w:i/>
          <w:sz w:val="20"/>
        </w:rPr>
        <w:t xml:space="preserve">http://www.targaresources.com </w:t>
      </w:r>
      <w:r>
        <w:rPr>
          <w:rFonts w:ascii="Times New Roman" w:hAnsi="Times New Roman"/>
          <w:sz w:val="20"/>
        </w:rPr>
        <w:t xml:space="preserve">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can also obtain information about us at the office of the NYSE, 20 Broad Street, New York, New York 10005.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and the information we file later with the SEC will automatically supersede this information. You should not assume that (i) the information incorporated by reference in this prospectus is accurate as of any date other than the respective date of the documents incorporated by reference or (ii) the information contained in this prospectus is accurate as of any date other that the date on the front page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the documents listed below and any future filings made by Targa Resources Corp. with the SEC under Section 13(a), 13(c), 14 or 15(d) of the Securities Exchange Act of 1934, as amended (the “Exchange Act”) (excluding any information furnished and not filed pursuant to 2.02 or 7.01 on any current report on Form 8-K), including all such documents we may file with the SEC from the date of this prospectus until the termination of each offering under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6">
              <w:r>
                <w:rPr>
                  <w:rStyle w:val="InternetLink"/>
                  <w:rFonts w:ascii="Times New Roman" w:hAnsi="Times New Roman"/>
                  <w:sz w:val="20"/>
                </w:rPr>
                <w:t>Form 10-K</w:t>
              </w:r>
            </w:hyperlink>
            <w:r>
              <w:rPr>
                <w:rFonts w:ascii="Times New Roman" w:hAnsi="Times New Roman"/>
                <w:sz w:val="20"/>
              </w:rPr>
              <w:t xml:space="preserve">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20, 2025</w:t>
              </w:r>
            </w:hyperlink>
            <w:r>
              <w:rPr>
                <w:rFonts w:ascii="Times New Roman" w:hAnsi="Times New Roman"/>
                <w:sz w:val="20"/>
              </w:rPr>
              <w:t xml:space="preserve">, </w:t>
            </w:r>
            <w:hyperlink r:id="rId8">
              <w:r>
                <w:rPr>
                  <w:rStyle w:val="InternetLink"/>
                  <w:rFonts w:ascii="Times New Roman" w:hAnsi="Times New Roman"/>
                  <w:sz w:val="20"/>
                </w:rPr>
                <w:t>February  25, 2025</w:t>
              </w:r>
            </w:hyperlink>
            <w:r>
              <w:rPr>
                <w:rFonts w:ascii="Times New Roman" w:hAnsi="Times New Roman"/>
                <w:sz w:val="20"/>
              </w:rPr>
              <w:t xml:space="preserve"> and </w:t>
            </w:r>
            <w:hyperlink r:id="rId9">
              <w:r>
                <w:rPr>
                  <w:rStyle w:val="InternetLink"/>
                  <w:rFonts w:ascii="Times New Roman" w:hAnsi="Times New Roman"/>
                  <w:sz w:val="20"/>
                </w:rPr>
                <w:t>February 27,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included in our </w:t>
            </w:r>
            <w:hyperlink r:id="rId10">
              <w:r>
                <w:rPr>
                  <w:rStyle w:val="InternetLink"/>
                  <w:rFonts w:ascii="Times New Roman" w:hAnsi="Times New Roman"/>
                  <w:sz w:val="20"/>
                </w:rPr>
                <w:t>Form 8-A</w:t>
              </w:r>
            </w:hyperlink>
            <w:r>
              <w:rPr>
                <w:rFonts w:ascii="Times New Roman" w:hAnsi="Times New Roman"/>
                <w:sz w:val="20"/>
              </w:rPr>
              <w:t xml:space="preserve"> (File No. 001-34991), filed on December  2, 2010 and </w:t>
            </w:r>
            <w:hyperlink r:id="rId11">
              <w:r>
                <w:rPr>
                  <w:rStyle w:val="InternetLink"/>
                  <w:rFonts w:ascii="Times New Roman" w:hAnsi="Times New Roman"/>
                  <w:sz w:val="20"/>
                </w:rPr>
                <w:t>Exhibit 4.4</w:t>
              </w:r>
            </w:hyperlink>
            <w:r>
              <w:rPr>
                <w:rFonts w:ascii="Times New Roman" w:hAnsi="Times New Roman"/>
                <w:sz w:val="20"/>
              </w:rPr>
              <w:t xml:space="preserve"> to our Annual Report on Form 10-K for the year ended December 31, 2024, including any amendment or report filed for the purpose of updating, changing or otherwise modifying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can obtain copies of any of these documents, and any exhibit specifically incorporated by reference in those documents, without charge upon written or oral request by requesting them in writing or by telephone at: </w:t>
      </w:r>
    </w:p>
    <w:p>
      <w:pPr>
        <w:pStyle w:val="TextBody"/>
        <w:bidi w:val="0"/>
        <w:spacing w:before="240" w:after="0"/>
        <w:jc w:val="center"/>
        <w:rPr>
          <w:rFonts w:ascii="Times New Roman" w:hAnsi="Times New Roman"/>
          <w:sz w:val="20"/>
        </w:rPr>
      </w:pPr>
      <w:r>
        <w:rPr>
          <w:rFonts w:ascii="Times New Roman" w:hAnsi="Times New Roman"/>
          <w:sz w:val="20"/>
        </w:rPr>
        <w:t xml:space="preserve">Targa Resources Corp. </w:t>
      </w:r>
    </w:p>
    <w:p>
      <w:pPr>
        <w:pStyle w:val="TextBody"/>
        <w:bidi w:val="0"/>
        <w:spacing w:before="0" w:after="0"/>
        <w:jc w:val="center"/>
        <w:rPr>
          <w:rFonts w:ascii="Times New Roman" w:hAnsi="Times New Roman"/>
          <w:sz w:val="20"/>
        </w:rPr>
      </w:pPr>
      <w:r>
        <w:rPr>
          <w:rFonts w:ascii="Times New Roman" w:hAnsi="Times New Roman"/>
          <w:sz w:val="20"/>
        </w:rPr>
        <w:t xml:space="preserve">811 Louisiana St., Suite 2100 </w:t>
      </w:r>
    </w:p>
    <w:p>
      <w:pPr>
        <w:pStyle w:val="TextBody"/>
        <w:bidi w:val="0"/>
        <w:spacing w:before="0" w:after="0"/>
        <w:jc w:val="center"/>
        <w:rPr>
          <w:rFonts w:ascii="Times New Roman" w:hAnsi="Times New Roman"/>
          <w:sz w:val="20"/>
        </w:rPr>
      </w:pPr>
      <w:r>
        <w:rPr>
          <w:rFonts w:ascii="Times New Roman" w:hAnsi="Times New Roman"/>
          <w:sz w:val="20"/>
        </w:rPr>
        <w:t xml:space="preserve">Houston, Texas 77002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(713) 584-1000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t>
      </w:r>
      <w:r>
        <w:rPr>
          <w:rFonts w:ascii="Times New Roman" w:hAnsi="Times New Roman"/>
          <w:i/>
          <w:sz w:val="20"/>
        </w:rPr>
        <w:t>http://www.targaresources.com</w:t>
      </w:r>
      <w:r>
        <w:rPr>
          <w:rFonts w:ascii="Times New Roman" w:hAnsi="Times New Roman"/>
          <w:sz w:val="20"/>
        </w:rPr>
        <w:t xml:space="preserve">. However, the information on our website is not part of this prospectus and is not incorporated by reference into this prospectus, and you should rely only on information contained or incorporated by reference in this prospectus when making a decision as to whether or not to invest in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rom20596_4"/>
      <w:bookmarkEnd w:id="18"/>
      <w:r>
        <w:rPr>
          <w:rFonts w:ascii="Times New Roman" w:hAnsi="Times New Roman"/>
          <w:b/>
          <w:sz w:val="20"/>
        </w:rPr>
        <w:t xml:space="preserve">CAUTIONARY STATEMENT ABOUT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Some of the information included in this prospectus contains our reports, filings and other public announcements, which may from time to time contain statements that do not directly or exclusively relate to historical facts. Such statements are “forward-looking statements.” You can typically identify forward-looking statements within the meaning of Section 27A of the Securities Act of 1933, as amended (the “Securities Act”), and Section 21E of the Exchange Act by the use of forward-looking statements, such as “may,” “could,” “project,” “believe,” “anticipate,” “expect,” “estimate,” “potential,” “plan,” “forecast” and other similar words.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that are not statements of historical facts, including statements regarding our future financial position, business strategy, budgets, projected costs and plans and objectives of management for future operations,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“Risk Factors,” the risks set forth in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in this prospectus, any risk factors included in any applicable prospectus supplement, as well as the following risks and uncertainties: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and success of crude oil and natural gas drilling around our assets, our success in connecting natural gas supplies to our gathering and processing systems, oil supplies to our gathering systems and natural gas liquid supplies to our logistics and transportation facilities and our success in connecting our facilities to transportation services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other countries with significant hydrocarbon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extent of changes in natural gas, natural gas liquids, crude oil and other commodity prices, interest rates and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through internal growth capital projects or acquisitions and the successful integration and future performance of such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of business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timely obtain and maintain necessary licenses, permits and other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changes, including the impact of consolidation, changes in competition and the addition of alternative forms of energy for oil,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downside commodity price volatility from a variety of potential factors that can result in lower activity in our areas of operation;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risk management activities, including the use of derivative instruments to hedge commodity price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market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significant public health crises and their impact on demand for oil,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and other natural phenomena, and related impacts;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the capital markets, which will depend on general market conditions, including the impact of interest rates, associated Federal Reserve policies, the economy, our credit ratings and leverage levels, and demand for our common equity, senior notes and commercial paper;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collateral required to be posted from time to time in our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creditworthiness of counterparties to various transactions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disruptions in the bank and capital markets, and our ability to obtain capital or financing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particularly with regard to taxes, tariffs and international trade, safety and the protection of the environment;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described elsewhere in this prospectus and in the documents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these forward-looking statements carefully because they discuss our expectations about our future performance, our future operating results or our future financial condition, or state other “forward-looking” information. Before you invest, you should be aware that the occurrence of any of the events described in “Risk Factors” or “Item 1A. Risk Factors” in our most recent Annual Report on Form 10-K, any subsequently filed Quarterly Reports on Form 10-Q, any subsequently filed Current Reports on Form 8-K (other than, in each case, information furnished rather than filed), all of which are incorporated by reference herein, and any risk factors included in any applicable prospectus supplement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 </w:t>
      </w:r>
    </w:p>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contained in this prospectus and all subsequent written and oral forward-looking statements attributable to us or persons acting on our behalf are expressly qualified in their entirety by this cautionary statement.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applicable law, we disclaim any duty to update any forward-looking statements, all of which are expressly qualified by the statements in this section, to reflect events or circumstances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rom20596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(other than, in each case, information furnished rather than filed), all of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 risks discussed in the foregoing documents were to occur, our business, financial condition, results of operations and cash flows could be materially adversely affected. Additional risks not presently known to us or that we currently believe are immaterial may also significantly impair our business operations and financial condition. Please read “Cautionary Statement About Forward-Looking Statements”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rom20596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may otherwise be stated in any applicable prospectus supplement, we intend to use the net proceeds we receive from any sales of securities by us under this prospectus and any prospectus supplement for general corporate purposes, including to repay indebtedness, to repurchase and/or redeem securities, to acquire businesses and/or assets, for capital expenditures, for additions to working capital and for investments in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rom20596_7"/>
      <w:bookmarkEnd w:id="21"/>
      <w:r>
        <w:rPr>
          <w:rFonts w:ascii="Times New Roman" w:hAnsi="Times New Roman"/>
          <w:b/>
          <w:sz w:val="20"/>
        </w:rPr>
        <w:t xml:space="preserve">DIVIDEND POLICY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We intend to continue to pay a quarterly dividend to our common stockholders; however, the payment of future dividends is dependent upon our financial condition, results of operations, cash flows, the level of our capital expenditures, future business prospects and any other matters that our board of directors, in consultation with management, deems relevant. Covenants contained in our debt agreements could limit the payment of dividends. For a discussion of restrictions on our and our subsidiaries’ ability to pay dividends or make distributions, please see “Note 8—Debt Obligations” in our Consolidated Financial Statements in our Annual Report on Form 10-K for the year ended December 31, 2024, which has been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rom20596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prospectus supplement. We will also indicate in the applicable prospectus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Description of Debt Securities, when we use the terms “Targa,” “we,” “us,” “our” or the “Company,” we are referring solely to Targa Resources Corp. and not to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prospectus supplement,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among us, as issuer, the Subsidiary Guarantors (as defined therein) and U.S. Bank Trust Company, National Association, as trustee, dated April 6, 2022 (the “indenture”). We have summarized select portions of the indenture below. The summary is not complete. The indenture has been filed as an exhibit to the registration statement of which this prospectus is a part and you should read the indenture for provisions that may be important to you. Please see “—Glossary” for a description of certain terms described in the summary below. Capitalized terms used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or a committee thereof, and set forth or determined in the manner provided in a resolution of our board of directors, or a committee thereof,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the applicable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a foreign currency unit, or if the principal of and any premium and interest on any series of debt securities is payable in a foreign currency or a foreign currency unit, we will provide you with information on the restrictions, elections, general tax considerations, specific terms and other information with respect to that issue of debt securities and such foreign currency or foreign currency unit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Subsidiary Guarantees </w:t>
      </w:r>
    </w:p>
    <w:p>
      <w:pPr>
        <w:pStyle w:val="TextBody"/>
        <w:bidi w:val="0"/>
        <w:spacing w:before="120" w:after="0"/>
        <w:jc w:val="left"/>
        <w:rPr>
          <w:rFonts w:ascii="Times New Roman" w:hAnsi="Times New Roman"/>
          <w:sz w:val="20"/>
        </w:rPr>
      </w:pPr>
      <w:r>
        <w:rPr>
          <w:rFonts w:ascii="Times New Roman" w:hAnsi="Times New Roman"/>
          <w:sz w:val="20"/>
        </w:rPr>
        <w:t xml:space="preserve">Our payment obligations under any series of debt securities may be jointly and severally, fully and unconditionally guaranteed by one or more of our subsidiaries pursuant to the terms of the indenture (each a “Subsidiary Guarantor”), but such subsidiary will be a Subsidiary Guarantor only so long as such subsidiary is a guarantor with respect to the debt securities on the terms provided for in the indenture. The applicable prospectus supplement will describe the terms of any guarantee by the Subsidiary Guarantors. If a series of debt securities is guaranteed by the Subsidiary Guarantors and is designated as subordinate to our Senior Indebtedness, then the guarantees by the Subsidiary Guarantors will be subordinated to the Senior Indebtedness of the Subsidiary Guarantors to substantially the same extent as the series is subordinated to our Senior Indebtedness. Please read “—Subordination.” </w:t>
      </w:r>
    </w:p>
    <w:p>
      <w:pPr>
        <w:pStyle w:val="TextBody"/>
        <w:bidi w:val="0"/>
        <w:spacing w:before="240" w:after="0"/>
        <w:jc w:val="left"/>
        <w:rPr>
          <w:rFonts w:ascii="Times New Roman" w:hAnsi="Times New Roman"/>
          <w:sz w:val="20"/>
        </w:rPr>
      </w:pPr>
      <w:r>
        <w:rPr>
          <w:rFonts w:ascii="Times New Roman" w:hAnsi="Times New Roman"/>
          <w:sz w:val="20"/>
        </w:rPr>
        <w:t xml:space="preserve">The guarantee of any Subsidiary Guarantor may be released under certain circumstances. If we exercise our legal or covenant defeasance option with respect to a series of debt securities as under the applicable provisions in the indenture, then the guarantees of such debt securities by all Subsidiary Guarantors will be released. Further, except as provided in an applicable prospectus supplement, a Subsidiary Guarantor will be unconditionally released and discharged from its guarantee of all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any sale, exchange or transfer, whether by way of merger or otherwise, to any person that is not our affiliate, of all of our direct or indirect Capital Stock in the Subsidiary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the merger of the Subsidiary Guarantor into us or any other Subsidiary Guarantor or the liquidation and dissolution of the Subsidiary Guarantor;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delivery of a written notice by us to the trustee, upon the release of all guarantees or other obligations of the Subsidiary Guarantor with respect to the obligations of us under the Credit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at any time following any release of a Subsidiary Guarantor from its guarantee of such series of debt securities pursuant to the third bullet point in the preceding paragraph, the Subsidiary Guarantor again guarantees, becomes a co-obligor with respect to or otherwise provides direct credit support for any of our obligations or the obligations of any of our subsidiaries under the Credit Agreement, then we will cause the Subsidiary Guarantor to again guarantee such series of debt securities in accordance with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applicable prospectus supplement, book-entry debt securities will not be issuable in certificated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transfer tax or similar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neither we nor any of our subsidiaries are restricted by the indenture from incurring any type of indebtedness or other obligation, from paying dividends or making distributions on our or its respective equity interests or from purchasing or redeeming our or its respective equity interests. The indenture does not require the maintenance of any financial ratios or specified levels of net worth or liquidity. In addition, the indenture does not contain any provisions that would require us to repurchase or redeem or otherwise modify the terms of the debt securities upon a change in control or other events involving us that could adversely affect our creditworthiness. </w:t>
      </w:r>
    </w:p>
    <w:p>
      <w:pPr>
        <w:pStyle w:val="TextBody"/>
        <w:bidi w:val="0"/>
        <w:spacing w:before="240" w:after="0"/>
        <w:jc w:val="left"/>
        <w:rPr>
          <w:rFonts w:ascii="Times New Roman" w:hAnsi="Times New Roman"/>
          <w:sz w:val="20"/>
        </w:rPr>
      </w:pPr>
      <w:r>
        <w:rPr>
          <w:rFonts w:ascii="Times New Roman" w:hAnsi="Times New Roman"/>
          <w:b/>
          <w:i/>
          <w:sz w:val="20"/>
        </w:rPr>
        <w:t>Limitations on Liens</w:t>
      </w:r>
      <w:r>
        <w:rPr>
          <w:rFonts w:ascii="Times New Roman" w:hAnsi="Times New Roman"/>
          <w:sz w:val="20"/>
        </w:rPr>
        <w:t xml:space="preserve">. We will not, nor will we permit any of our subsidiaries to, create, assume, incur or suffer to exist any mortgage, lien, security interest, pledge, charge or other encumbrance (“liens”) upon any Principal Property or upon any Capital Stock of any Restricted Subsidiary, whether owned on the date of the issuance of any debt securities or thereafter acquired, to secure any Indebtedness of us or any other person (other than the debt securities issued under the indenture), without in any such case making effective provisions whereby all of the outstanding debt securities are secured equally and ratably with, or prior to, such Indebtedness so long as such Indebtedness is so secured.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under the indenture, we may, and may permit any of our subsidiaries to, create, assume, incur, or suffer to exist without securing the debt securities (a) any Permitted Lien, (b) any lien upon any Principal Property or Capital Stock of a Restricted Subsidiary to secure our Indebtedness or the Indebtedness of any other person, provided that the aggregate principal amount of all Indebtedness then outstanding secured by such lien and all similar liens under this clause (b) does not exceed 15% of Consolidated Net Tangible Assets, determined at the time of incurrence of such Indebtedness or (c) with respect to any series of debt securities, any lien upon (i) any Principal Property that was not owned by us or any of our subsidiaries on the date of the supplemental indenture creating the debt securities or (ii) Capital Stock of any Restricted Subsidiary that owns no Principal Property and was owned by us or any of our subsidiaries on the date of the supplemental indenture creating the debt securities (an “Excluded Subsidiary”) that (A) is not, and is not required to be, a Subsidiary Guarantor and (B) has not granted any liens on any of its property securing Indebtedness of us or any of our subsidiaries other than such Excluded Subsidiary or any other Excluded Subsidiary. </w:t>
      </w:r>
    </w:p>
    <w:p>
      <w:pPr>
        <w:pStyle w:val="TextBody"/>
        <w:bidi w:val="0"/>
        <w:spacing w:before="240" w:after="0"/>
        <w:jc w:val="left"/>
        <w:rPr>
          <w:rFonts w:ascii="Times New Roman" w:hAnsi="Times New Roman"/>
          <w:sz w:val="20"/>
        </w:rPr>
      </w:pPr>
      <w:r>
        <w:rPr>
          <w:rFonts w:ascii="Times New Roman" w:hAnsi="Times New Roman"/>
          <w:b/>
          <w:i/>
          <w:sz w:val="20"/>
        </w:rPr>
        <w:t>Merger, Consolidation or Sale of Assets</w:t>
      </w:r>
      <w:r>
        <w:rPr>
          <w:rFonts w:ascii="Times New Roman" w:hAnsi="Times New Roman"/>
          <w:sz w:val="20"/>
        </w:rPr>
        <w:t xml:space="preserve">. We shall not, in a transaction or series of transactions, consolidate with or merge into any Person or sell, lease, convey, transfer or otherwise dispose of all or substantially all of our assets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formed by or resulting from any such consolidation or merger or to which such assets have been sold, leased, conveyed, transferred or otherwise disposed of (the “successor”) is either us or expressly assumes by supplemental indenture the due and punctual payment of the principal of, premium (if any) and interest on all of the debt securities and the performance of our covenants and obligations under the indenture and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is organized under the laws of the United States, any state thereof or the District of Columbia;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successor will be substituted for us in the indenture with the same effect as if it had been an original party to the indenture. Thereafter, the successor may exercise our rights and powers under the indenture. If we convey or transfer all or substantially all of our assets, we will be released from all liabilities and obligations under the indenture and under the debt securities except that no such release will occur in the case of a lease of all or substantially all of our assets. </w:t>
      </w:r>
    </w:p>
    <w:p>
      <w:pPr>
        <w:pStyle w:val="TextBody"/>
        <w:bidi w:val="0"/>
        <w:spacing w:before="240" w:after="0"/>
        <w:jc w:val="left"/>
        <w:rPr>
          <w:rFonts w:ascii="Times New Roman" w:hAnsi="Times New Roman"/>
          <w:sz w:val="20"/>
        </w:rPr>
      </w:pPr>
      <w:r>
        <w:rPr>
          <w:rFonts w:ascii="Times New Roman" w:hAnsi="Times New Roman"/>
          <w:b/>
          <w:i/>
          <w:sz w:val="20"/>
        </w:rPr>
        <w:t>Reporting Covenant</w:t>
      </w:r>
      <w:r>
        <w:rPr>
          <w:rFonts w:ascii="Times New Roman" w:hAnsi="Times New Roman"/>
          <w:sz w:val="20"/>
        </w:rPr>
        <w:t xml:space="preserve">. If we are subject to the requirements of Section 13 or 15(d) of the Exchange Act, we shall file with the trustee, within 15 days after we file the same with the SEC, copies of the annual reports and the information, documents and other reports (or copies of such portions of any of the foregoing as the SEC may by rules and regulations prescribe) that we are required to file with the SEC pursuant to Section 13 or 15(d) of the Exchange Act. If the indenture is qualified under the Trust Indenture Act (“TIA”), but not otherwise, we and our Subsidiary Guarantors shall also comply with the provisions of TIA Section 314(a). If the issuer is not subject to the requirements of Section 13 or 15(d) of the Exchange Act, the issuer shall file with the trustee, within 15 days after it would have been required to file with the SEC, financial statements (and with respect to annual reports, an auditor’s report by a firm of established national reputation) and a Management’s Discussion and Analysis of Financial Condition and Results of Operations, both comparable to what it would have been required to file with the SEC had it been subject to the requirements of Section 13 or 15(d) of the Exchange Act. Any reports, information or documents filed with the SEC pursuant to its Electronic Data Gathering, Analysis and Retrieval (EDGAR) (or any successor) system shall be deemed filed with the trustee as required pursuant to this covenant.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above or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such default continues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upon redemption, upon required repurchase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or if the series of debt securities is guaranteed by any Subsidiary Guarantor, by such Subsidiary Guarantor, in the indenture (other than a covenant or warranty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or, if the series of debt securities is guaranteed by any Subsidiary Guarantor, of such Subsidiary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series of debt securities is guaranteed by any Subsidiary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the subsidiary guarantees ceases to be in full force and effect, except as otherwise provided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the subsidiary guarantees is declared null and void in a judicial proceeding;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Guarantor denies or disaffirms its obligations under the indenture or its guarantee;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of us,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applicable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covenants in the indenture described above under “—Certain Covenants—Merger, Consolidation or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bearer debt securities (with or without coupons);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supplement any of the provisions of the indenture to permit or facilitate the defeasance and discharge of any series of debt securities; provided that the rights of the holders of the debt securities of such series or any other series are not adversely affected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eliminate any provisions of the indenture that are effective only when there is no outstanding debt security of any series created prior to the execution of such amendment or supplemental indenture that is adversely affected by such change in or elimination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continuing default in the payment of the principal of, premium (if any)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premium, if any, payable upon the redemption of any debt security or waive the requirement that any debt security shall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coin or currency in which any debt security or any premium or interest with respect thereto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premium, if any, and interest on such holder’s debt securities or to institute suit for the enforcement of the payment of such amounts;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or the compliance of any Subsidiary Guarantor,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b/>
          <w:i/>
          <w:sz w:val="20"/>
        </w:rPr>
        <w:t>Legal Defeasance</w:t>
      </w:r>
      <w:r>
        <w:rPr>
          <w:rFonts w:ascii="Times New Roman" w:hAnsi="Times New Roman"/>
          <w:sz w:val="20"/>
        </w:rPr>
        <w:t xml:space="preserve">. The indenture provides that, unless otherwise provided by the terms of the applicable series of debt securities, we may defease and be released from any and all obligations in respect of the debt securities of any series (subject to certain exceptions). We will be so defeased upon the irrevocable deposit with the trustee, in trust, of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defeasance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b/>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“—Certain Covenants—Merger, Consolidation or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240" w:after="0"/>
        <w:jc w:val="left"/>
        <w:rPr>
          <w:rFonts w:ascii="Times New Roman" w:hAnsi="Times New Roman"/>
          <w:sz w:val="20"/>
        </w:rPr>
      </w:pPr>
      <w:r>
        <w:rPr>
          <w:rFonts w:ascii="Times New Roman" w:hAnsi="Times New Roman"/>
          <w:b/>
          <w:i/>
          <w:sz w:val="20"/>
        </w:rPr>
        <w:t>Satisfaction</w:t>
      </w:r>
      <w:r>
        <w:rPr>
          <w:rFonts w:ascii="Times New Roman" w:hAnsi="Times New Roman"/>
          <w:sz w:val="20"/>
        </w:rPr>
        <w:t xml:space="preserve"> </w:t>
      </w:r>
      <w:r>
        <w:rPr>
          <w:rFonts w:ascii="Times New Roman" w:hAnsi="Times New Roman"/>
          <w:b/>
          <w:i/>
          <w:sz w:val="20"/>
        </w:rPr>
        <w:t>and Discharge</w:t>
      </w:r>
      <w:r>
        <w:rPr>
          <w:rFonts w:ascii="Times New Roman" w:hAnsi="Times New Roman"/>
          <w:sz w:val="20"/>
        </w:rPr>
        <w:t xml:space="preserve">. The indenture provides that, if at any time we shall have delivered to the trustee for cancellation all debt securities of any series theretofore authenticated and delivered (other than any debt securities of such series that shall have been destroyed, lost or stolen and which shall have been replaced or paid as provided in the indenture and debt securities for whose payment money has theretofore been deposited in trust and thereafter repaid to us as provided in the indenture) or all debt securities of such series not theretofore delivered to the trustee for cancellation shall have become due and payable, or are by their terms to become due and payable at their stated maturity within one year or are to be called for redemption within one year under arrangements satisfactory to the trustee for the giving of notice of redemption, and we shall deposit with the trustee as trust funds the entire amount in the currency in which such debt securities are denominated (except as otherwise provided pursuant to the indenture) sufficient to pay at stated maturity or upon redemption all debt securities of such series not theretofore delivered to the trustee for cancellation, including principal and premium, if any, and interest due or to become due on such date of stated maturity or redemption date, as the case may be, and if in either case we shall also pay or cause to be paid all other sums then due and payable hereunder by us with respect to the debt securities of such series, then the indenture shall cease to be of further effect with respect to the debt securities of such series, and the trustee, on our demand accompanied by an officer’s certificate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opinion of counsel and at our cost and expense, shall execute proper instruments acknowledging satisfaction of and discharging the indenture with respect to the debt securities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of a series may be subordinated to our “Senior Indebtedness,” which we define generally to include any obligation created or assumed by us for the repayment of borrowed money and any guarantee thereof, whether outstanding or hereafter issued, unless, by the terms of the instrument creating or evidencing such obligation, it is provided that such obligation is subordinate or not superior in right of payment to the debt securities or to other obligations that are pari passu with, or subordinated to, the debt securities. Subordinated debt securities and the related guarantees will be subordinate in right of payment, to the extent and in the manner set forth in the indenture and the applicable prospectus supplement relating to such series, to the prior payment of all of our indebtedness and that of, if applicable, any Subsidiary Guarantor that is designated as “Senior Indebtedness” with respect to the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Senior Indebtedness of ours or, if applicable, a Subsidiary Guarantor will receive payment in full of the Senior Indebtedness before holders of subordinated debt securities will receive any payment of principal, premium, if any, or interest with respect to the subordinated debt securities upon any payment or distribution of our assets or, if applicable to any series of outstanding debt securities, a Subsidiary Guarantor’s assets, to creditors: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liquidation or dissolution of us or, if applicable to any series of outstanding debt securities, the Subsidiary Guarantors;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bankruptcy, receivership or similar proceeding relating to us or, if applicable to any series of outstanding debt securities, to the Subsidiary Guarantors.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the Senior Indebtedness is paid in full, any distribution to which holders of subordinated debt securities would otherwise be entitled will be made to the holders of Senior Indebtedness, except that the holders of subordinated debt securities may receive Capital Stock in us and any debt securities that are subordinated to Senior Indebtedness to at least the same extent as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do not pay any principal, premium, if any, or interest with respect to Senior Indebtedness within any applicable grace period (including at maturity), or any other default on Senior Indebtedness occurs and the maturity of the Senior Indebtedness is accelerated in accordance with its terms, we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of principal, premium, if any, or interest with respect to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deposit for the purpose of defeasance or discharge of the subordinated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redeem or otherwise retire any subordinated debt securities, except that in the case of subordinated debt securities that provide for a mandatory sinking fund, we may deliver subordinated debt securities to the trustee in satisfaction of our sinking fund obligation,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 either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default has been cured or waived and any declaration or acceleration has been rescinded;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Senior Indebtedness has been paid in full in cash;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trustee receive written notice approving the payment from the representatives of each issue of “Designated Senior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“Designated Senior Indebtedness”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specified issue of Senior Indebtedness of at least $100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Senior Indebtedness that we may designate in respect of any series of subordinated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continuance of any default, other than a default described in the immediately preceding paragraph, that may cause the maturity of any Designated Senior Indebtedness to be accelerated immediately without further notice, other than any notice required to effect such acceleration, or the expiration of any applicable grace periods, we may not pay the subordinated debt securities for a period called the “Payment Blockage Period.” A Payment Blockage Period will commence on the receipt by us and the trustee of written notice of the default, called a “Blockage Notice,” from the representative of any Designated Senior Indebtedness specifying an election to effect a Payment Blockage Period and will end 179 days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Payment Blockage Period may be terminated before its expiration: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from the person or persons who gave the Blockage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repayment in full in cash of the Designated Senior Indebtedness with respect to which the Blockage Notice was given;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default giving rise to the Payment Blockage Period is no longer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holders of the Designated Senior Indebtedness have accelerated the maturity of the Designated Senior Indebtedness, we may resume payments on the subordinated debt securities after the expiration of the Payment Blockage Period. </w:t>
      </w:r>
    </w:p>
    <w:p>
      <w:pPr>
        <w:pStyle w:val="TextBody"/>
        <w:bidi w:val="0"/>
        <w:spacing w:before="240" w:after="0"/>
        <w:jc w:val="left"/>
        <w:rPr>
          <w:rFonts w:ascii="Times New Roman" w:hAnsi="Times New Roman"/>
          <w:sz w:val="20"/>
        </w:rPr>
      </w:pPr>
      <w:r>
        <w:rPr>
          <w:rFonts w:ascii="Times New Roman" w:hAnsi="Times New Roman"/>
          <w:sz w:val="20"/>
        </w:rPr>
        <w:t xml:space="preserve">Generally, not more than one Blockage Notice may be given in any period of 360 consecutive days. The total number of days during which any one or more Payment Blockage Periods are in effect, however, may not exceed an aggregate of 179 days during any period of 360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After all Senior Indebtedness is paid in full and until the subordinated debt securities are paid in full, holders of the subordinated debt securities shall be subrogated to the rights of holders of Senior Indebtedness to receive distributions applicable to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subordination provisions described above, in the event of insolvency, the holders of Senior Indebtedness, as well as certain of our general creditors, may recover more, ratably, than the holders of the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12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w:t>
      </w:r>
    </w:p>
    <w:p>
      <w:pPr>
        <w:pStyle w:val="TextBody"/>
        <w:bidi w:val="0"/>
        <w:spacing w:before="24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of us and our consolidated subsidiaries after deducting therefrom: </w:t>
      </w:r>
    </w:p>
    <w:p>
      <w:pPr>
        <w:pStyle w:val="TextBody"/>
        <w:bidi w:val="0"/>
        <w:spacing w:before="240" w:after="0"/>
        <w:jc w:val="left"/>
        <w:rPr>
          <w:rFonts w:ascii="Times New Roman" w:hAnsi="Times New Roman"/>
          <w:sz w:val="20"/>
        </w:rPr>
      </w:pPr>
      <w:r>
        <w:rPr>
          <w:rFonts w:ascii="Times New Roman" w:hAnsi="Times New Roman"/>
          <w:sz w:val="20"/>
        </w:rPr>
        <w:t xml:space="preserve">(1) all current liabilities (excluding (A) any current liabilities that by their terms are extendable or renewable at the option of the obligor thereon to a time more than twelve months after the time as of which the amount thereof is being computed and (B) current maturities of long-term debt); and </w:t>
      </w:r>
    </w:p>
    <w:p>
      <w:pPr>
        <w:pStyle w:val="TextBody"/>
        <w:bidi w:val="0"/>
        <w:spacing w:before="240" w:after="0"/>
        <w:jc w:val="left"/>
        <w:rPr>
          <w:rFonts w:ascii="Times New Roman" w:hAnsi="Times New Roman"/>
          <w:sz w:val="20"/>
        </w:rPr>
      </w:pPr>
      <w:r>
        <w:rPr>
          <w:rFonts w:ascii="Times New Roman" w:hAnsi="Times New Roman"/>
          <w:sz w:val="20"/>
        </w:rPr>
        <w:t xml:space="preserve">(2) the value (net of any applicable reserves) of all goodwill, trade names, trademarks, patents and other like intangible assets, all as set forth, or on a pro forma basis would be set forth, on our consolidated balance sheet and our consolidated subsidiaries for our most recently completed fiscal quarter for which financial statements have been filed with the SEC, prepared in accordance with generally accepted accounting principles. </w:t>
      </w:r>
    </w:p>
    <w:p>
      <w:pPr>
        <w:pStyle w:val="TextBody"/>
        <w:bidi w:val="0"/>
        <w:spacing w:before="240" w:after="0"/>
        <w:jc w:val="left"/>
        <w:rPr/>
      </w:pPr>
      <w:r>
        <w:rPr/>
        <w:t>“</w:t>
      </w:r>
      <w:r>
        <w:rPr>
          <w:rFonts w:ascii="Times New Roman" w:hAnsi="Times New Roman"/>
          <w:i/>
          <w:sz w:val="20"/>
        </w:rPr>
        <w:t>Credit Agreement</w:t>
      </w:r>
      <w:r>
        <w:rPr>
          <w:rFonts w:ascii="Times New Roman" w:hAnsi="Times New Roman"/>
          <w:sz w:val="20"/>
        </w:rPr>
        <w:t xml:space="preserve">” means that certain Credit Agreement, dated as of February 17, 2022, among the Company, Bank of America, N.A., as the administrative agent, collateral agent and swing line lender and the other agents and lenders party thereto, as the same may be further amended, restated, refinanced, replaced, renewed, refunded or otherwise modified, in whole or in part, from time to time.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of any Person at any date means any obligation created or assumed by such person for the repayment of borrowed money or any guaranty thereof. </w:t>
      </w:r>
    </w:p>
    <w:p>
      <w:pPr>
        <w:pStyle w:val="TextBody"/>
        <w:bidi w:val="0"/>
        <w:spacing w:before="240" w:after="0"/>
        <w:jc w:val="left"/>
        <w:rPr/>
      </w:pPr>
      <w:r>
        <w:rPr/>
        <w:t>“</w:t>
      </w:r>
      <w:r>
        <w:rPr>
          <w:rFonts w:ascii="Times New Roman" w:hAnsi="Times New Roman"/>
          <w:i/>
          <w:sz w:val="20"/>
        </w:rPr>
        <w:t>Joint Venture</w:t>
      </w:r>
      <w:r>
        <w:rPr>
          <w:rFonts w:ascii="Times New Roman" w:hAnsi="Times New Roman"/>
          <w:sz w:val="20"/>
        </w:rPr>
        <w:t xml:space="preserve">” means any Person that is not a direct or indirect subsidiary of ours in which we or any of our subsidiaries owns Capital Stock. </w:t>
      </w:r>
    </w:p>
    <w:p>
      <w:pPr>
        <w:pStyle w:val="TextBody"/>
        <w:bidi w:val="0"/>
        <w:spacing w:before="240" w:after="0"/>
        <w:jc w:val="left"/>
        <w:rPr/>
      </w:pPr>
      <w:r>
        <w:rPr/>
        <w:t>“</w:t>
      </w:r>
      <w:r>
        <w:rPr>
          <w:rFonts w:ascii="Times New Roman" w:hAnsi="Times New Roman"/>
          <w:i/>
          <w:sz w:val="20"/>
        </w:rPr>
        <w:t>Non-Recourse Indebtedness</w:t>
      </w:r>
      <w:r>
        <w:rPr>
          <w:rFonts w:ascii="Times New Roman" w:hAnsi="Times New Roman"/>
          <w:sz w:val="20"/>
        </w:rPr>
        <w:t xml:space="preserve">” means any Indebtedness incurred by any Joint Venture or Non-Recourse Subsidiary which does not provide for recourse against us or any subsidiary of ours (other than a Non-Recourse Subsidiary) or any property or asset of ours or any subsidiary of ours (other than the Capital Stock or the properties or assets of a Joint Venture or Non-Recourse Subsidiary). </w:t>
      </w:r>
    </w:p>
    <w:p>
      <w:pPr>
        <w:pStyle w:val="TextBody"/>
        <w:bidi w:val="0"/>
        <w:spacing w:before="240" w:after="0"/>
        <w:jc w:val="left"/>
        <w:rPr/>
      </w:pPr>
      <w:r>
        <w:rPr/>
        <w:t>“</w:t>
      </w:r>
      <w:r>
        <w:rPr>
          <w:rFonts w:ascii="Times New Roman" w:hAnsi="Times New Roman"/>
          <w:i/>
          <w:sz w:val="20"/>
        </w:rPr>
        <w:t>Non-Recourse Subsidiary</w:t>
      </w:r>
      <w:r>
        <w:rPr>
          <w:rFonts w:ascii="Times New Roman" w:hAnsi="Times New Roman"/>
          <w:sz w:val="20"/>
        </w:rPr>
        <w:t xml:space="preserve">” means any subsidiary of ours (i) whose principal purpose is to incur Non-Recourse Indebtedness and/or construct, lease, own or operate the assets financed in whole or in part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“Business Entity”), (ii) who is not an obligor or otherwise bound with respect to any Indebtedness other than Non-Recourse Indebtedness, (iii) the majority of the assets of which subsidiary or Business Entity are limited to (x) those assets being financed (or to be financed), or the operation of which is being financed (or to be financed), in whole or in part by Non-Recourse Indebtedness, (y) Capital Stock in, or Indebtedness or other obligations of, one or more other Non-Recourse Subsidiaries or Business Entities or (z) other assets reasonably related thereto and (iv) any subsidiary of a Non-Recourse Subsidiary; provided that such subsidiary shall be considered to be a Non-Recourse Subsidiary only to the extent that and for so long as each of the above requirements are met.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(1) liens upon rights-of-way for pipeline purposes; </w:t>
      </w:r>
    </w:p>
    <w:p>
      <w:pPr>
        <w:pStyle w:val="TextBody"/>
        <w:bidi w:val="0"/>
        <w:spacing w:before="240" w:after="0"/>
        <w:jc w:val="left"/>
        <w:rPr>
          <w:rFonts w:ascii="Times New Roman" w:hAnsi="Times New Roman"/>
          <w:sz w:val="20"/>
        </w:rPr>
      </w:pPr>
      <w:r>
        <w:rPr>
          <w:rFonts w:ascii="Times New Roman" w:hAnsi="Times New Roman"/>
          <w:sz w:val="20"/>
        </w:rPr>
        <w:t xml:space="preserve">(2) easements, rights-of-way, restrictions and other similar encumbrances incurred in the ordinary course of business and encumbrances consisting of zoning restrictions, easements, licenses, restrictions on the use of real property or minor imperfections in title thereto and which do not in the aggregate materially adversely affect the value of the properties encumbered thereby or materially impair their use in the operation of the business of us and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rights reserved to or vested by any provision of law in any municipality or public authority to control or regulate any of the properties of us or any subsidiary or the use thereof or the rights and interests of us or any subsidiary therein, in any manner under any and all laws; </w:t>
      </w:r>
    </w:p>
    <w:p>
      <w:pPr>
        <w:pStyle w:val="TextBody"/>
        <w:bidi w:val="0"/>
        <w:spacing w:before="240" w:after="0"/>
        <w:jc w:val="left"/>
        <w:rPr>
          <w:rFonts w:ascii="Times New Roman" w:hAnsi="Times New Roman"/>
          <w:sz w:val="20"/>
        </w:rPr>
      </w:pPr>
      <w:r>
        <w:rPr>
          <w:rFonts w:ascii="Times New Roman" w:hAnsi="Times New Roman"/>
          <w:sz w:val="20"/>
        </w:rPr>
        <w:t xml:space="preserve">(4) rights reserved to the grantors of any properties of us or any subsidiary, and the restrictions, conditions, restrictive covenants and limitations, in respect thereto, pursuant to the terms, conditions and provisions of any rights-of-way agreements, contracts or other agreements therewith; </w:t>
      </w:r>
    </w:p>
    <w:p>
      <w:pPr>
        <w:pStyle w:val="TextBody"/>
        <w:bidi w:val="0"/>
        <w:spacing w:before="240" w:after="0"/>
        <w:jc w:val="left"/>
        <w:rPr>
          <w:rFonts w:ascii="Times New Roman" w:hAnsi="Times New Roman"/>
          <w:sz w:val="20"/>
        </w:rPr>
      </w:pPr>
      <w:r>
        <w:rPr>
          <w:rFonts w:ascii="Times New Roman" w:hAnsi="Times New Roman"/>
          <w:sz w:val="20"/>
        </w:rPr>
        <w:t xml:space="preserve">(5) any statutory or governmental lien or lien arising by operation of law, or any mechanics’, repairmen’s, materialmen’s, suppliers’, carriers’, landlords’, warehousemen’s or similar lien incurred in the ordinary course of business which is not more than sixty (60) days past due or which is being contested in good faith by appropriate processes or proceedings and any undetermined lien which is incidental to construction, development, improvement or repair; </w:t>
      </w:r>
    </w:p>
    <w:p>
      <w:pPr>
        <w:pStyle w:val="TextBody"/>
        <w:bidi w:val="0"/>
        <w:spacing w:before="240" w:after="0"/>
        <w:jc w:val="left"/>
        <w:rPr>
          <w:rFonts w:ascii="Times New Roman" w:hAnsi="Times New Roman"/>
          <w:sz w:val="20"/>
        </w:rPr>
      </w:pPr>
      <w:r>
        <w:rPr>
          <w:rFonts w:ascii="Times New Roman" w:hAnsi="Times New Roman"/>
          <w:sz w:val="20"/>
        </w:rPr>
        <w:t xml:space="preserve">(6) any right reserved to, or vested in, any municipality or public authority by the terms of any right, power, franchise, grant, license, permit or by any provision of law, to purchase or recapture or to designate a purchaser of, any property; </w:t>
      </w:r>
    </w:p>
    <w:p>
      <w:pPr>
        <w:pStyle w:val="TextBody"/>
        <w:bidi w:val="0"/>
        <w:spacing w:before="240" w:after="0"/>
        <w:jc w:val="left"/>
        <w:rPr>
          <w:rFonts w:ascii="Times New Roman" w:hAnsi="Times New Roman"/>
          <w:sz w:val="20"/>
        </w:rPr>
      </w:pPr>
      <w:r>
        <w:rPr>
          <w:rFonts w:ascii="Times New Roman" w:hAnsi="Times New Roman"/>
          <w:sz w:val="20"/>
        </w:rPr>
        <w:t xml:space="preserve">(7) liens for taxes and assessments which are (a) for the then current year, (b) not at the time delinquent, or (c) delinquent but the validity or amount of which is being contested at the time by us or any of our subsidiaries in good faith by appropriate processes or proceedings; </w:t>
      </w:r>
    </w:p>
    <w:p>
      <w:pPr>
        <w:pStyle w:val="TextBody"/>
        <w:bidi w:val="0"/>
        <w:spacing w:before="240" w:after="0"/>
        <w:jc w:val="left"/>
        <w:rPr>
          <w:rFonts w:ascii="Times New Roman" w:hAnsi="Times New Roman"/>
          <w:sz w:val="20"/>
        </w:rPr>
      </w:pPr>
      <w:r>
        <w:rPr>
          <w:rFonts w:ascii="Times New Roman" w:hAnsi="Times New Roman"/>
          <w:sz w:val="20"/>
        </w:rPr>
        <w:t xml:space="preserve">(8) liens of, or to secure performance of, leases; </w:t>
      </w:r>
    </w:p>
    <w:p>
      <w:pPr>
        <w:pStyle w:val="TextBody"/>
        <w:bidi w:val="0"/>
        <w:spacing w:before="240" w:after="0"/>
        <w:jc w:val="left"/>
        <w:rPr>
          <w:rFonts w:ascii="Times New Roman" w:hAnsi="Times New Roman"/>
          <w:sz w:val="20"/>
        </w:rPr>
      </w:pPr>
      <w:r>
        <w:rPr>
          <w:rFonts w:ascii="Times New Roman" w:hAnsi="Times New Roman"/>
          <w:sz w:val="20"/>
        </w:rPr>
        <w:t xml:space="preserve">(9) any lien in favor of us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(10) with respect to any series of debt securities, any lien upon any property or assets of us or any subsidiary in existence on the date of the initial issuance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(11) any lien incurred in the ordinary course of business in connection with workmen’s compensation, unemployment insurance, temporary disability, social security, retiree health or similar laws or regulations or to secure obligations imposed by statute or governmental regulations; </w:t>
      </w:r>
    </w:p>
    <w:p>
      <w:pPr>
        <w:pStyle w:val="TextBody"/>
        <w:bidi w:val="0"/>
        <w:spacing w:before="240" w:after="0"/>
        <w:jc w:val="left"/>
        <w:rPr>
          <w:rFonts w:ascii="Times New Roman" w:hAnsi="Times New Roman"/>
          <w:sz w:val="20"/>
        </w:rPr>
      </w:pPr>
      <w:r>
        <w:rPr>
          <w:rFonts w:ascii="Times New Roman" w:hAnsi="Times New Roman"/>
          <w:sz w:val="20"/>
        </w:rPr>
        <w:t xml:space="preserve">(12) liens in favor of any person to secure obligations under provisions of any letters of credit, bank guarantees, bonds or surety obligations required or requested by any governmental authority in connection with any contract or statute, provided that such obligations do not constitute Indebtedness; or any lien upon or deposits of any assets to secure performance of bids, trade contracts, leases or statutory obligations, and other obligations of a like nature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(13) any lien upon any property or assets created at the time of acquisition of such property or assets by us or any of our subsidiaries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bidi w:val="0"/>
        <w:spacing w:before="240" w:after="0"/>
        <w:jc w:val="left"/>
        <w:rPr>
          <w:rFonts w:ascii="Times New Roman" w:hAnsi="Times New Roman"/>
          <w:sz w:val="20"/>
        </w:rPr>
      </w:pPr>
      <w:r>
        <w:rPr>
          <w:rFonts w:ascii="Times New Roman" w:hAnsi="Times New Roman"/>
          <w:sz w:val="20"/>
        </w:rPr>
        <w:t xml:space="preserve">(14) any lien upon any property or assets to secure all or part of the cost of construction, development, repair or improvements thereon or to secure Indebtedness incurred prior to, at the time of, or within one year after completion of such construction, development, repair or improvements or the commencement of full operations thereof (whichever is later), to provide funds for any such purpose; </w:t>
      </w:r>
    </w:p>
    <w:p>
      <w:pPr>
        <w:pStyle w:val="TextBody"/>
        <w:bidi w:val="0"/>
        <w:spacing w:before="240" w:after="0"/>
        <w:jc w:val="left"/>
        <w:rPr>
          <w:rFonts w:ascii="Times New Roman" w:hAnsi="Times New Roman"/>
          <w:sz w:val="20"/>
        </w:rPr>
      </w:pPr>
      <w:r>
        <w:rPr>
          <w:rFonts w:ascii="Times New Roman" w:hAnsi="Times New Roman"/>
          <w:sz w:val="20"/>
        </w:rPr>
        <w:t xml:space="preserve">(15) any lien upon any property or assets existing thereon at the time of the acquisition thereof by us or any of our subsidiaries and any lien upon any property or assets of a person existing thereon at the time such person becomes a subsidiary of us by acquisition, merger or otherwise; provided that, in each case, such lien only encumbers the property or assets so acquired or owned by such person at the time such person becomes a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liens imposed by law or order as a result of any proceeding before any court or regulatory body that is being contested in good faith, and liens which secure a judgment or other court-ordered award or settlement as to which we or the applicable subsidiary has not exhausted its appellate rights; </w:t>
      </w:r>
    </w:p>
    <w:p>
      <w:pPr>
        <w:pStyle w:val="TextBody"/>
        <w:bidi w:val="0"/>
        <w:spacing w:before="240" w:after="0"/>
        <w:jc w:val="left"/>
        <w:rPr>
          <w:rFonts w:ascii="Times New Roman" w:hAnsi="Times New Roman"/>
          <w:sz w:val="20"/>
        </w:rPr>
      </w:pPr>
      <w:r>
        <w:rPr>
          <w:rFonts w:ascii="Times New Roman" w:hAnsi="Times New Roman"/>
          <w:sz w:val="20"/>
        </w:rPr>
        <w:t xml:space="preserve">(17) any extension, renewal, refinancing, refunding or replacement (or successive extensions, renewals, refinancing, refunding or replacements) of liens, in whole or in part, referred to in clauses (1) through (16)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us or our subsidiaries (including any premium) incurred in connection with such extension, renewal, refinancing, refunding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(18) any lien on property or assets, or pledges of Capital Stock, of (a) any Joint Venture owned by us or any subsidiary of ours or (b) any Non-Recourse Subsidiary, in each case only to the extent securing Non-Recourse Indebtedness of such Joint Venture or Non-Recourse Subsidiary; and </w:t>
      </w:r>
    </w:p>
    <w:p>
      <w:pPr>
        <w:pStyle w:val="TextBody"/>
        <w:bidi w:val="0"/>
        <w:spacing w:before="240" w:after="0"/>
        <w:jc w:val="left"/>
        <w:rPr>
          <w:rFonts w:ascii="Times New Roman" w:hAnsi="Times New Roman"/>
          <w:sz w:val="20"/>
        </w:rPr>
      </w:pPr>
      <w:r>
        <w:rPr>
          <w:rFonts w:ascii="Times New Roman" w:hAnsi="Times New Roman"/>
          <w:sz w:val="20"/>
        </w:rPr>
        <w:t xml:space="preserve">(19) any lien resulting from the deposit of moneys or evidence of indebtedness in trust for the purpose of defeasing Indebtedness of us or any of our subsidiaries.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incorporated or unincorporated association, joint stock company, trust, unincorporated organization or government or other agency, instrumentality or political subdivision thereof or other entity of any kind.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whether owned or leased on the date of the initial issuance of the debt securities or thereafter acquired: </w:t>
      </w:r>
    </w:p>
    <w:p>
      <w:pPr>
        <w:pStyle w:val="TextBody"/>
        <w:bidi w:val="0"/>
        <w:spacing w:before="240" w:after="0"/>
        <w:jc w:val="left"/>
        <w:rPr>
          <w:rFonts w:ascii="Times New Roman" w:hAnsi="Times New Roman"/>
          <w:sz w:val="20"/>
        </w:rPr>
      </w:pPr>
      <w:r>
        <w:rPr>
          <w:rFonts w:ascii="Times New Roman" w:hAnsi="Times New Roman"/>
          <w:sz w:val="20"/>
        </w:rPr>
        <w:t xml:space="preserve">(1) any pipeline assets of us or any of our subsidiaries, including any related facilities employed in the gathering, transportation, distribution, storage or marketing of natural gas, refined petroleum products, natural gas liquids and petrochemicals, that are located in the United States of America; and </w:t>
      </w:r>
    </w:p>
    <w:p>
      <w:pPr>
        <w:pStyle w:val="TextBody"/>
        <w:bidi w:val="0"/>
        <w:spacing w:before="240" w:after="0"/>
        <w:jc w:val="left"/>
        <w:rPr>
          <w:rFonts w:ascii="Times New Roman" w:hAnsi="Times New Roman"/>
          <w:sz w:val="20"/>
        </w:rPr>
      </w:pPr>
      <w:r>
        <w:rPr>
          <w:rFonts w:ascii="Times New Roman" w:hAnsi="Times New Roman"/>
          <w:sz w:val="20"/>
        </w:rPr>
        <w:t xml:space="preserve">(2) any processing, compression, treating, blending or manufacturing plant or terminal owned or leased by us or any of our subsidiaries that is located in the United States, except in the case of either of the preceding clause (1) or this clause (2): </w:t>
      </w:r>
    </w:p>
    <w:p>
      <w:pPr>
        <w:pStyle w:val="TextBody"/>
        <w:bidi w:val="0"/>
        <w:spacing w:before="120" w:after="0"/>
        <w:jc w:val="left"/>
        <w:rPr>
          <w:rFonts w:ascii="Times New Roman" w:hAnsi="Times New Roman"/>
          <w:sz w:val="20"/>
        </w:rPr>
      </w:pPr>
      <w:r>
        <w:rPr>
          <w:rFonts w:ascii="Times New Roman" w:hAnsi="Times New Roman"/>
          <w:sz w:val="20"/>
        </w:rPr>
        <w:t xml:space="preserve">(a) any such assets consisting of inventories, furniture, office fixtures and equipment (including data processing equipment), vehicles and equipment used on, or useful with, vehicles; and </w:t>
      </w:r>
    </w:p>
    <w:p>
      <w:pPr>
        <w:pStyle w:val="TextBody"/>
        <w:bidi w:val="0"/>
        <w:spacing w:before="120" w:after="0"/>
        <w:jc w:val="left"/>
        <w:rPr>
          <w:rFonts w:ascii="Times New Roman" w:hAnsi="Times New Roman"/>
          <w:sz w:val="20"/>
        </w:rPr>
      </w:pPr>
      <w:r>
        <w:rPr>
          <w:rFonts w:ascii="Times New Roman" w:hAnsi="Times New Roman"/>
          <w:sz w:val="20"/>
        </w:rPr>
        <w:t xml:space="preserve">(b) any such assets which, in our good faith opinion, are not material in relation to the activities of us and our subsidiaries taken as a whole.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any subsidiary owning or leasing, directly or indirectly through ownership in another subsidiary, any Principal Property.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any corporation, association or business entity of which more than 50% of the total voting power of the equity interests entitled (without regard to the occurrence of any contingency) to vote in the election of directors, managers, or trustees thereof or any partnership of which more than 50% of the partners’ equity interests (considering all partners’ equity interests as a single class) is, in each case, at the time owned or controlled, directly or indirectly, by such Person or one or more subsidiaries of such Person or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rom20596_9"/>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our common stock, preferred stock, amended and restated certificate of incorporation, as amended (the “amended and restated certificate of incorporation”), and third amended and restated bylaws (the “amended and restated bylaws”) does not purport to be complete and is qualified in its entirety by reference to the provisions of applicable law and to our amended and restated certificate of incorporation, and amended and restated bylaws, which are filed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common stock of Targa Resources Corp. consists of 450,000,000 shares, par value $0.001 per share.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by law or in a preferred stock designation, holders of common stock are entitled to one vote for each share held of record on all matters submitted to a vote of the stockholders, have the exclusive right to vote for the election of directors and do not have cumulative voting rights. Except as otherwise required by law, holders of common stock, as such,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General Corporation Law of the State of Delaware (the “DGCL”). Subject to preferences that may be applicable to any outstanding shares or series of preferred stock, holders of common stock are entitled to receive ratably such dividends (payable in cash, stock or otherwise), if any, as may be declared from time to time by our board of directors out of funds legally available for dividend payments. All outstanding shares of common stock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preferred stock of Targa Resources Corp. consists of 100,000,000 shares, par value $0.001 per share, of which no shares are outstanding as of the date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subject to any limitations prescribed by law, without further stockholder approval, to establish and to issue from time to time one or more classes or series of preferred stock. Each class or series of preferred stock will cover the number of shares and will have the powers, 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designations governing the Series A Preferred Stock (the “Series A Preferred Stock”) provides the holders of the Series A Preferred Stock with the right to vote, under certain conditions, on an as-converted basis with our common stockholders on matters submitted to a stockholder vote. So long as any Series A Preferred Stock is outstanding, subject to certain exceptions, the affirmative vote or consent of the holders of at least a majority of the outstanding Series A Preferred Stock, voting together as a separate class, will be necessary for effecting or validating, among other things: (i) any issuance of stock senior to the Series A Preferred Stock; (ii) any issuance, authorization or creation of, or any increase by any of our consolidated subsidiaries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issued or authorized amount of, any specific class or series of securities; (iii) any issuance by us of parity stock, subject to certain exceptions; and (iv) any incurrence of indebtedness by us and our consolidated subsidiaries for borrowed monies, other than under the Credit Agreement and a credit agreement at Targa Resources Partners LP (or replacement commercial bank credit facilities) in an aggregate amount up to $2.75 billion, or indebtedness that complies with a specified fixed charge coverage ratio.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described below, contain provisions that could make the following transactions more difficult: acquisitions of us by means of a tender offer, a proxy contest or otherwise and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certificate of incorporation, we are subject to the provisions of Section 203 of the DGCL. In general, those provisions prohibit a Delaware corporation, including those whose securities are listed for trading on the NYSE, from engaging in any business combination with any interested stockholder for a period of three years following the date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the board of directors before the date the interested stockholder attained that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completion of the transaction that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time as such person becomes an interested stockholder, the business combination is approved by the board of directors and authorized at a meeting of stockholders by at least two-thirds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(in one or a series of transactions)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directly or indirectly, of any loans, advances, guarantees, pledges or other financial benefits provided by or through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any of these entities or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advance notice procedures with regard to stockholder proposals relating to the nomination of candidates for election as directors or new business to be brought before meetings of our stockholders, which may preclude our stockholders from bringing matters before our stockholders at an annual or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procedures provide that notice of stockholder proposals must be timely given in writing and received by our corporate secretary prior to the meeting at which the action is to be taken;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to be timely, notice must be received at our principal executive offices not less than 90 days nor more than 120 days prior to the first anniversary date of the annual meeting for the preceding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must set forth specific information regarding the stockholder and the proposal or director nominee, as described in our amended and restated bylaws (which requirements are in addition to those set forth in the regulations adopted by the SEC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 stockholder or group of up to 20 stockholders (with funds having specified relationships constituting a single stockholder), owning 3% or more of our common stock continuously for at least three years, may nominate and include in our proxy materials director nominees constituting up to 20% of the board of directors (rounded down to the nearest whole number), provided that the nominating stockholder(s) and the nominee(s) have satisfied the requirements specified in our amended and restated bylaws and subject to the other terms and conditions set forth in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deterring hostile takeovers or delaying changes in control or management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of directors shall be divided into three classes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authorized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and only by the affirmative vote of holders of at least a majority of the voting power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amended and restated certificate of incorporation and amended and restated bylaws may be amended by the affirmative vote of the holders of at least 66 2/3%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special meetings of our stockholders may only be called at the request in writing by a majority of our board of directors, by our chief executive officer or by the chairman of the board;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amended and restated bylaws can be amended or repealed by our board of directors or our stockholders.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Matters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limits the liability of our directors for monetary damages for breach of their fiduciary duty as directors, except for the following liabilities that cannot be eliminated under the DGCL: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their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 unlawful payment of dividends or an unlawful stock purchase or redemption, as provided under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these provisions will be prospective only and would not affect any limitation on liability of a director for acts or omissions that occurred prior to any such amendment,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provide that we will indemnify our directors and officers to the fullest extent permitted by the DGCL. Our amended and restated bylaws also permit us to purchase insurance on behalf of any of our officers, directors, employees or agents or any person who is or was serving at our request as an officer, director, employee or agent of another enterprise for any expense, liability or loss asserted against such person and incurred by any such person in any such capacity, or arising out of that person’s status as such, regardless of whether the DGCL would permit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 agreements provide that we will indemnify and hold harmless each indemnitee for certain expenses to the fullest extent permitted or authorized by law, including the DGCL, in effect on the date of the agreement or as it may be amended to provide more advantageous rights to the indemnitee. If such indemnification is unavailable as a result of a court decision and if we and the indemnitee are jointly liable in the proceeding, we will contribute funds to the indemnitee for his expenses in proportion to relative benefit and fault of us and the indemnitee in the transaction giving rise to the proceeding. The indemnification agreements also provide that we will indemnify the indemnitee for monetary damages for actions taken as our director or officer or for serving at our request as a director or officer or another position at another corporation or enterprise, as the case may be but only if (i) the indemnitee acted in good faith and, in the case of conduct in his official capacity, in a manner he reasonably believed to be in our best interests and, in all other cases, not opposed to our best interests and (ii) in the case of a criminal proceeding, the indemnitee must have had no reasonable cause to believe that his conduct was unlawful. The indemnification agreements also provide that we must advance payment of certain expenses to the indemnitee, including fees of counsel, subject to receipt of an undertaking from the indemnitee to return such advance if it is ultimately determined that the indemnitee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limitation of liability provision in our amended and restated certificate of incorporation, our amended and restated bylaws and the indemnification agreements will facilitate our ability to continue to attract and retain qualified individuals to serve as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NYSE under the symbol “TRGP.”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rom20596_10"/>
      <w:bookmarkEnd w:id="24"/>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depositary shares (either separately or together with other securities) representing fractional interests in our preferred stock of any series. 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If we elect to offer fractional interests in shares of preferred stock to the public, we will deposit the preferred stock with the relevant preferred stock depositary and will cause the preferred stock depositary to issue, on our behalf, the related depositary receipts. Subject to the terms of the depositary agreement, each owner of a depositary receipt will be entitled, in proportion to the fraction of a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and liquidation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rom20596_11"/>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common stock. Warrants may be issued independently or together with our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prospectus supplement relating to a particular issue of warrants for the terms of and information relating to the warrants, including,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purchasable upon exercise of the warrants and the price at which such number of shares of common stock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commences and the date on which such right expires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warrants outstanding as of the most recent practicable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United States dollars only. Warrants will be issued in registered form only. Each warrant will entitle its holder to purchase such number of shares of common stock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any warrants, holders of the warrants will not have any of the rights of holders of common stock, including the right to receive payments of any dividends on the common stock purchasable upon exercise of the warrants, or to exercise any applicable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rom20596_12"/>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broker-dealers who may act as agent or may purchase securities as principal and thereafter resell the securities as principal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subsequent resale by such broker or dealer for its own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fix a price of our securities or will price our securities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then-current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agents or may purchase securities as principal and thereafter resell the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 through one or more transactions (which may involve cross transactions and block trades) or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any offering of securities will set forth the terms of the offering, including: (i) the name or names of any underwriters; (ii) the purchase price of the securities and the proceeds to us from the sale; (iii) any underwriting discounts and commissions and other items constituting underwriters’ compensation; (iv) any delayed delivery arrangements; and (v) other important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we use underwriters, we will enter into an underwriting agreement with such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We may indemnify underwriters, brokers, dealers and agents against specific liabilities, including liabilities under the Securities Act. Any underwriters, brokers, dealers and agents who participate in any sale of the securities may also engage in transactions with, or perform services for, us or our affiliates in the ordinary course of their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rom20596_1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securities will be passed upon by Vinson &amp; Elkins L.L.P., Houston, Texas, as our counsel. Any underwriter or agent will be advised about other issues relating to any offering by its own legal counsel. </w:t>
      </w:r>
    </w:p>
    <w:p>
      <w:pPr>
        <w:pStyle w:val="TextBody"/>
        <w:bidi w:val="0"/>
        <w:spacing w:before="480" w:after="0"/>
        <w:jc w:val="center"/>
        <w:rPr>
          <w:rFonts w:ascii="Times New Roman" w:hAnsi="Times New Roman"/>
          <w:b/>
          <w:sz w:val="20"/>
        </w:rPr>
      </w:pPr>
      <w:bookmarkStart w:id="28" w:name="rom20596_14"/>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0"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2"/>
                    <a:stretch>
                      <a:fillRect/>
                    </a:stretch>
                  </pic:blipFill>
                  <pic:spPr bwMode="auto">
                    <a:xfrm>
                      <a:off x="0" y="0"/>
                      <a:ext cx="2266950" cy="6381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Targa Resources Corp. </w:t>
      </w:r>
    </w:p>
    <w:p>
      <w:pPr>
        <w:pStyle w:val="TextBody"/>
        <w:bidi w:val="0"/>
        <w:spacing w:before="480" w:after="0"/>
        <w:jc w:val="center"/>
        <w:rPr>
          <w:rFonts w:ascii="Times New Roman" w:hAnsi="Times New Roman"/>
          <w:b/>
          <w:sz w:val="28"/>
        </w:rPr>
      </w:pPr>
      <w:r>
        <w:rPr>
          <w:rFonts w:ascii="Times New Roman" w:hAnsi="Times New Roman"/>
          <w:b/>
          <w:sz w:val="28"/>
        </w:rPr>
        <w:t xml:space="preserve">$750,000,000 4.350% Senior Notes due 2031 </w:t>
      </w:r>
    </w:p>
    <w:p>
      <w:pPr>
        <w:pStyle w:val="TextBody"/>
        <w:bidi w:val="0"/>
        <w:spacing w:before="240" w:after="0"/>
        <w:jc w:val="center"/>
        <w:rPr>
          <w:rFonts w:ascii="Times New Roman" w:hAnsi="Times New Roman"/>
          <w:b/>
          <w:sz w:val="28"/>
        </w:rPr>
      </w:pPr>
      <w:r>
        <w:rPr>
          <w:rFonts w:ascii="Times New Roman" w:hAnsi="Times New Roman"/>
          <w:b/>
          <w:sz w:val="28"/>
        </w:rPr>
        <w:t xml:space="preserve">$750,000,000 6.050% Senior Notes due 2056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center"/>
        <w:rPr>
          <w:rFonts w:ascii="Times New Roman" w:hAnsi="Times New Roman"/>
          <w:i/>
          <w:sz w:val="18"/>
        </w:rPr>
      </w:pPr>
      <w:r>
        <w:rPr>
          <w:rFonts w:ascii="Times New Roman" w:hAnsi="Times New Roman"/>
          <w:i/>
          <w:sz w:val="18"/>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6"/>
        <w:gridCol w:w="100"/>
        <w:gridCol w:w="3783"/>
        <w:gridCol w:w="100"/>
        <w:gridCol w:w="2510"/>
        <w:gridCol w:w="100"/>
        <w:gridCol w:w="2306"/>
      </w:tblGrid>
      <w:tr>
        <w:trPr/>
        <w:tc>
          <w:tcPr>
            <w:tcW w:w="130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1306" w:type="dxa"/>
            <w:tcBorders/>
          </w:tcPr>
          <w:p>
            <w:pPr>
              <w:pStyle w:val="TableContents"/>
              <w:bidi w:val="0"/>
              <w:spacing w:before="0" w:after="283"/>
              <w:jc w:val="left"/>
              <w:rPr>
                <w:b/>
              </w:rPr>
            </w:pPr>
            <w:r>
              <w:rPr>
                <w:b/>
              </w:rPr>
              <w:t>MUFG</w:t>
            </w:r>
          </w:p>
        </w:tc>
        <w:tc>
          <w:tcPr>
            <w:tcW w:w="100" w:type="dxa"/>
            <w:tcBorders/>
            <w:vAlign w:val="bottom"/>
          </w:tcPr>
          <w:p>
            <w:pPr>
              <w:pStyle w:val="TableContents"/>
              <w:bidi w:val="0"/>
              <w:spacing w:before="0" w:after="283"/>
              <w:jc w:val="left"/>
              <w:rPr/>
            </w:pPr>
            <w:r>
              <w:rPr/>
              <w:t> </w:t>
            </w:r>
          </w:p>
        </w:tc>
        <w:tc>
          <w:tcPr>
            <w:tcW w:w="3783" w:type="dxa"/>
            <w:tcBorders/>
          </w:tcPr>
          <w:p>
            <w:pPr>
              <w:pStyle w:val="TableContents"/>
              <w:bidi w:val="0"/>
              <w:spacing w:before="0" w:after="283"/>
              <w:jc w:val="center"/>
              <w:rPr>
                <w:b/>
              </w:rPr>
            </w:pPr>
            <w:r>
              <w:rPr>
                <w:b/>
              </w:rPr>
              <w:t>PNC Capital Markets LLC</w:t>
            </w:r>
          </w:p>
        </w:tc>
        <w:tc>
          <w:tcPr>
            <w:tcW w:w="100" w:type="dxa"/>
            <w:tcBorders/>
            <w:vAlign w:val="bottom"/>
          </w:tcPr>
          <w:p>
            <w:pPr>
              <w:pStyle w:val="TableContents"/>
              <w:bidi w:val="0"/>
              <w:spacing w:before="0" w:after="283"/>
              <w:jc w:val="left"/>
              <w:rPr/>
            </w:pPr>
            <w:r>
              <w:rPr/>
              <w:t> </w:t>
            </w:r>
          </w:p>
        </w:tc>
        <w:tc>
          <w:tcPr>
            <w:tcW w:w="2510" w:type="dxa"/>
            <w:tcBorders/>
            <w:vAlign w:val="bottom"/>
          </w:tcPr>
          <w:p>
            <w:pPr>
              <w:pStyle w:val="TableContents"/>
              <w:bidi w:val="0"/>
              <w:spacing w:before="0" w:after="283"/>
              <w:jc w:val="center"/>
              <w:rPr>
                <w:b/>
              </w:rPr>
            </w:pPr>
            <w:r>
              <w:rPr>
                <w:b/>
              </w:rPr>
              <w:t>TD Securities</w:t>
            </w:r>
          </w:p>
        </w:tc>
        <w:tc>
          <w:tcPr>
            <w:tcW w:w="100" w:type="dxa"/>
            <w:tcBorders/>
            <w:vAlign w:val="bottom"/>
          </w:tcPr>
          <w:p>
            <w:pPr>
              <w:pStyle w:val="TableContents"/>
              <w:bidi w:val="0"/>
              <w:spacing w:before="0" w:after="283"/>
              <w:jc w:val="left"/>
              <w:rPr/>
            </w:pPr>
            <w:r>
              <w:rPr/>
              <w:t> </w:t>
            </w:r>
          </w:p>
        </w:tc>
        <w:tc>
          <w:tcPr>
            <w:tcW w:w="2306" w:type="dxa"/>
            <w:tcBorders/>
            <w:vAlign w:val="bottom"/>
          </w:tcPr>
          <w:p>
            <w:pPr>
              <w:pStyle w:val="TableContents"/>
              <w:bidi w:val="0"/>
              <w:spacing w:before="0" w:after="283"/>
              <w:jc w:val="right"/>
              <w:rPr>
                <w:b/>
              </w:rPr>
            </w:pPr>
            <w:r>
              <w:rPr>
                <w:b/>
              </w:rPr>
              <w:t>Wells Fargo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102"/>
        <w:gridCol w:w="3062"/>
        <w:gridCol w:w="102"/>
        <w:gridCol w:w="1939"/>
        <w:gridCol w:w="101"/>
        <w:gridCol w:w="2144"/>
        <w:gridCol w:w="102"/>
        <w:gridCol w:w="816"/>
      </w:tblGrid>
      <w:tr>
        <w:trPr/>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BofA Securities</w:t>
            </w:r>
          </w:p>
        </w:tc>
        <w:tc>
          <w:tcPr>
            <w:tcW w:w="1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center"/>
              <w:rPr>
                <w:b/>
              </w:rPr>
            </w:pPr>
            <w:r>
              <w:rPr>
                <w:b/>
              </w:rPr>
              <w:t>Capital One Securities</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b/>
              </w:rPr>
            </w:pPr>
            <w:r>
              <w:rPr>
                <w:b/>
              </w:rPr>
              <w:t>Citigroup</w:t>
            </w:r>
          </w:p>
        </w:tc>
        <w:tc>
          <w:tcPr>
            <w:tcW w:w="101" w:type="dxa"/>
            <w:tcBorders/>
            <w:vAlign w:val="bottom"/>
          </w:tcPr>
          <w:p>
            <w:pPr>
              <w:pStyle w:val="TableContents"/>
              <w:bidi w:val="0"/>
              <w:spacing w:before="0" w:after="283"/>
              <w:jc w:val="left"/>
              <w:rPr/>
            </w:pPr>
            <w:r>
              <w:rPr/>
              <w:t> </w:t>
            </w:r>
          </w:p>
        </w:tc>
        <w:tc>
          <w:tcPr>
            <w:tcW w:w="2144" w:type="dxa"/>
            <w:tcBorders/>
            <w:vAlign w:val="bottom"/>
          </w:tcPr>
          <w:p>
            <w:pPr>
              <w:pStyle w:val="TableContents"/>
              <w:bidi w:val="0"/>
              <w:spacing w:before="0" w:after="283"/>
              <w:jc w:val="right"/>
              <w:rPr>
                <w:b/>
              </w:rPr>
            </w:pPr>
            <w:r>
              <w:rPr>
                <w:b/>
              </w:rPr>
              <w:t>J.P. Morgan</w:t>
            </w:r>
          </w:p>
        </w:tc>
        <w:tc>
          <w:tcPr>
            <w:tcW w:w="102"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Mizuho</w:t>
            </w:r>
          </w:p>
        </w:tc>
      </w:tr>
    </w:tbl>
    <w:p>
      <w:pPr>
        <w:pStyle w:val="TextBody"/>
        <w:bidi w:val="0"/>
        <w:spacing w:before="80" w:after="0"/>
        <w:jc w:val="center"/>
        <w:rPr>
          <w:rFonts w:ascii="Times New Roman" w:hAnsi="Times New Roman"/>
          <w:i/>
          <w:sz w:val="18"/>
        </w:rPr>
      </w:pPr>
      <w:r>
        <w:rPr>
          <w:rFonts w:ascii="Times New Roman" w:hAnsi="Times New Roman"/>
          <w:i/>
          <w:sz w:val="18"/>
        </w:rPr>
        <w:t xml:space="preserve">Co-Managers </w:t>
      </w:r>
    </w:p>
    <w:p>
      <w:pPr>
        <w:pStyle w:val="TextBody"/>
        <w:bidi w:val="0"/>
        <w:spacing w:before="0" w:after="0"/>
        <w:jc w:val="left"/>
        <w:rPr/>
      </w:pPr>
      <w:r>
        <w:rPr/>
        <w:t> </w:t>
      </w:r>
    </w:p>
    <w:tbl>
      <w:tblPr>
        <w:tblW w:w="10390" w:type="dxa"/>
        <w:jc w:val="left"/>
        <w:tblInd w:w="0" w:type="dxa"/>
        <w:tblLayout w:type="fixed"/>
        <w:tblCellMar>
          <w:top w:w="0" w:type="dxa"/>
          <w:left w:w="0" w:type="dxa"/>
          <w:bottom w:w="0" w:type="dxa"/>
          <w:right w:w="0" w:type="dxa"/>
        </w:tblCellMar>
      </w:tblPr>
      <w:tblGrid>
        <w:gridCol w:w="1790"/>
        <w:gridCol w:w="60"/>
        <w:gridCol w:w="2855"/>
        <w:gridCol w:w="60"/>
        <w:gridCol w:w="1655"/>
        <w:gridCol w:w="60"/>
        <w:gridCol w:w="2435"/>
        <w:gridCol w:w="60"/>
        <w:gridCol w:w="1415"/>
      </w:tblGrid>
      <w:tr>
        <w:trPr/>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790" w:type="dxa"/>
            <w:tcBorders/>
          </w:tcPr>
          <w:p>
            <w:pPr>
              <w:pStyle w:val="TableContents"/>
              <w:bidi w:val="0"/>
              <w:spacing w:before="0" w:after="0"/>
              <w:jc w:val="left"/>
              <w:rPr>
                <w:rFonts w:ascii="Times New Roman" w:hAnsi="Times New Roman"/>
                <w:b/>
                <w:sz w:val="18"/>
              </w:rPr>
            </w:pPr>
            <w:r>
              <w:rPr>
                <w:rFonts w:ascii="Times New Roman" w:hAnsi="Times New Roman"/>
                <w:b/>
                <w:sz w:val="18"/>
              </w:rPr>
              <w:t>CIBC Capital Markets</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855" w:type="dxa"/>
            <w:tcBorders/>
          </w:tcPr>
          <w:p>
            <w:pPr>
              <w:pStyle w:val="TableContents"/>
              <w:bidi w:val="0"/>
              <w:spacing w:before="0" w:after="283"/>
              <w:jc w:val="center"/>
              <w:rPr>
                <w:b/>
              </w:rPr>
            </w:pPr>
            <w:r>
              <w:rPr>
                <w:b/>
              </w:rPr>
              <w:t>Goldman Sachs &amp; Co. LLC</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2435" w:type="dxa"/>
            <w:tcBorders/>
            <w:vAlign w:val="bottom"/>
          </w:tcPr>
          <w:p>
            <w:pPr>
              <w:pStyle w:val="TableContents"/>
              <w:bidi w:val="0"/>
              <w:spacing w:before="0" w:after="283"/>
              <w:jc w:val="right"/>
              <w:rPr>
                <w:b/>
              </w:rPr>
            </w:pPr>
            <w:r>
              <w:rPr>
                <w:b/>
              </w:rPr>
              <w:t>Regions Securities LLC</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b/>
              </w:rPr>
            </w:pPr>
            <w:r>
              <w:rPr>
                <w:b/>
              </w:rPr>
              <w:t>SMBC Nikko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2"/>
        <w:gridCol w:w="101"/>
        <w:gridCol w:w="3777"/>
        <w:gridCol w:w="101"/>
        <w:gridCol w:w="3164"/>
      </w:tblGrid>
      <w:tr>
        <w:trPr/>
        <w:tc>
          <w:tcPr>
            <w:tcW w:w="306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3062" w:type="dxa"/>
            <w:tcBorders/>
          </w:tcPr>
          <w:p>
            <w:pPr>
              <w:pStyle w:val="TableContents"/>
              <w:bidi w:val="0"/>
              <w:spacing w:before="0" w:after="283"/>
              <w:jc w:val="left"/>
              <w:rPr>
                <w:b/>
              </w:rPr>
            </w:pPr>
            <w:r>
              <w:rPr>
                <w:b/>
              </w:rPr>
              <w:t>Comerica Securities</w:t>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center"/>
              <w:rPr>
                <w:b/>
              </w:rPr>
            </w:pPr>
            <w:r>
              <w:rPr>
                <w:b/>
              </w:rPr>
              <w:t>US Bancorp</w:t>
            </w:r>
          </w:p>
        </w:tc>
        <w:tc>
          <w:tcPr>
            <w:tcW w:w="101"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b/>
              </w:rPr>
            </w:pPr>
            <w:r>
              <w:rPr>
                <w:b/>
              </w:rPr>
              <w:t>Zions Capital Markets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February 25,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9" w:name="d20596dexfilingfees.htm"/>
      <w:bookmarkStart w:id="30" w:name="ksd20596dexfilingfees"/>
      <w:bookmarkStart w:id="31" w:name="d20596dexfilingfees.htm"/>
      <w:bookmarkStart w:id="32" w:name="ksd20596dexfilingfees"/>
      <w:bookmarkEnd w:id="31"/>
      <w:bookmarkEnd w:id="32"/>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Targa Resources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2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4.350% Senior Notes due 2031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750,000,000 </w:t>
            </w:r>
          </w:p>
        </w:tc>
        <w:tc>
          <w:tcPr>
            <w:tcW w:w="1156" w:type="dxa"/>
            <w:tcBorders/>
            <w:shd w:fill="E7E7E2" w:val="clear"/>
            <w:vAlign w:val="center"/>
          </w:tcPr>
          <w:p>
            <w:pPr>
              <w:pStyle w:val="TableContents"/>
              <w:bidi w:val="0"/>
              <w:spacing w:before="0" w:after="283"/>
              <w:jc w:val="right"/>
              <w:rPr/>
            </w:pPr>
            <w:r>
              <w:rPr/>
              <w:t xml:space="preserve">$ 0.99812 </w:t>
            </w:r>
          </w:p>
        </w:tc>
        <w:tc>
          <w:tcPr>
            <w:tcW w:w="1966" w:type="dxa"/>
            <w:tcBorders/>
            <w:shd w:fill="E7E7E2" w:val="clear"/>
            <w:vAlign w:val="center"/>
          </w:tcPr>
          <w:p>
            <w:pPr>
              <w:pStyle w:val="TableContents"/>
              <w:bidi w:val="0"/>
              <w:spacing w:before="0" w:after="283"/>
              <w:jc w:val="right"/>
              <w:rPr/>
            </w:pPr>
            <w:r>
              <w:rPr/>
              <w:t xml:space="preserve">$ 748,590,000.00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$ 103,380.28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050% Senior Notes due 2056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750,000,000 </w:t>
            </w:r>
          </w:p>
        </w:tc>
        <w:tc>
          <w:tcPr>
            <w:tcW w:w="1156" w:type="dxa"/>
            <w:tcBorders/>
            <w:shd w:fill="E7E7E2" w:val="clear"/>
            <w:vAlign w:val="center"/>
          </w:tcPr>
          <w:p>
            <w:pPr>
              <w:pStyle w:val="TableContents"/>
              <w:bidi w:val="0"/>
              <w:spacing w:before="0" w:after="283"/>
              <w:jc w:val="right"/>
              <w:rPr/>
            </w:pPr>
            <w:r>
              <w:rPr/>
              <w:t xml:space="preserve">$ 0.99975 </w:t>
            </w:r>
          </w:p>
        </w:tc>
        <w:tc>
          <w:tcPr>
            <w:tcW w:w="1966" w:type="dxa"/>
            <w:tcBorders/>
            <w:shd w:fill="E7E7E2" w:val="clear"/>
            <w:vAlign w:val="center"/>
          </w:tcPr>
          <w:p>
            <w:pPr>
              <w:pStyle w:val="TableContents"/>
              <w:bidi w:val="0"/>
              <w:spacing w:before="0" w:after="283"/>
              <w:jc w:val="right"/>
              <w:rPr/>
            </w:pPr>
            <w:r>
              <w:rPr/>
              <w:t xml:space="preserve">$ 749,812,500.00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$ 103,549.11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3" w:name="MaxAggtOfferingPrice"/>
            <w:bookmarkEnd w:id="33"/>
            <w:r>
              <w:rPr/>
              <w:t xml:space="preserve">$ 1,498,402,500.00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$ 206,929.39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NetFeeAmt"/>
            <w:bookmarkEnd w:id="37"/>
            <w:r>
              <w:rPr/>
              <w:t xml:space="preserve">$ 206,929.39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(1) The proposed maximum aggregate offering price is being used to calculate the registration fee pursuant to Rule 457(o) under the Securities Act of 1933, as amended (the "Securities Act"). (2) Calculated in accordance with Rule 457(r) of the Securities Act. This "Calculation of Filing Fee Tables" shall be deemed to update the "Calculation of Filing Fee Tables" in the registrant's registration statement on Form S-3ASR filed with the U.S. Securities and Exchange Commission on March 21, 2025 (File No. 333-286012).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9" w:type="dxa"/>
            <w:gridSpan w:val="2"/>
            <w:tcBorders/>
            <w:vAlign w:val="center"/>
          </w:tcPr>
          <w:p>
            <w:pPr>
              <w:pStyle w:val="TableContents"/>
              <w:bidi w:val="0"/>
              <w:spacing w:before="0" w:after="283"/>
              <w:jc w:val="left"/>
              <w:rPr/>
            </w:pPr>
            <w:r>
              <w:rPr/>
              <w:t xml:space="preserve">(1) The proposed maximum aggregate offering price is being used to calculate the registration fee pursuant to Rule 457(o) under the Securities Act of 1933, as amended (the "Securities Act"). (2) Calculated in accordance with Rule 457(r) of the Securities Act. This "Calculation of Filing Fee Tables" shall be deemed to update the "Calculation of Filing Fee Tables" in the registrant's registration statement on Form S-3ASR filed with the U.S. Securities and Exchange Commission on March 21, 2025 (File No. 333-286012).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$1,498,402,500.00.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389170/000119312526059296/trgp-20251231.htm" TargetMode="External"/><Relationship Id="rId5" Type="http://schemas.openxmlformats.org/officeDocument/2006/relationships/image" Target="media/image3.jpeg"/><Relationship Id="rId6" Type="http://schemas.openxmlformats.org/officeDocument/2006/relationships/hyperlink" Target="http://www.sec.gov/Archives/edgar/data/../../../ix?doc=/Archives/edgar/data/1389170/000095017025023983/trgp-20241231.htm" TargetMode="External"/><Relationship Id="rId7" Type="http://schemas.openxmlformats.org/officeDocument/2006/relationships/hyperlink" Target="http://www.sec.gov/Archives/edgar/data/../../../ix?doc=/Archives/edgar/data/1389170/000119312525030752/d837589d8k.htm" TargetMode="External"/><Relationship Id="rId8" Type="http://schemas.openxmlformats.org/officeDocument/2006/relationships/hyperlink" Target="http://www.sec.gov/Archives/edgar/data/../../../ix?doc=/Archives/edgar/data/1389170/000119312525035212/d921171d8k.htm" TargetMode="External"/><Relationship Id="rId9" Type="http://schemas.openxmlformats.org/officeDocument/2006/relationships/hyperlink" Target="http://www.sec.gov/Archives/edgar/data/../../../ix?doc=/Archives/edgar/data/1389170/000119312525039300/d154736d8k.htm" TargetMode="External"/><Relationship Id="rId10" Type="http://schemas.openxmlformats.org/officeDocument/2006/relationships/hyperlink" Target="http://www.sec.gov/Archives/edgar/data/1389170/000095012310110293/h75749de8va12b.htm" TargetMode="External"/><Relationship Id="rId11" Type="http://schemas.openxmlformats.org/officeDocument/2006/relationships/hyperlink" Target="http://www.sec.gov/Archives/edgar/data/1389170/000095017025023983/trgp-ex4_4.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36439</Words>
  <Characters>191815</Characters>
  <CharactersWithSpaces>229221</CharactersWithSpaces>
  <Paragraphs>2987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