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ind w:left="120" w:right="280"/>
        <w:spacing w:after="0" w:line="257"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This preliminary prospectus supplement and the accompanying prospectus are not offers to sell these securities and they are not soliciting offers to buy these securities in any jurisdiction where the offer or sale is not permitted.</w:t>
      </w:r>
    </w:p>
    <w:p>
      <w:pPr>
        <w:spacing w:after="0" w:line="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333-286012</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6, 2025</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March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160020</wp:posOffset>
            </wp:positionV>
            <wp:extent cx="204025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Targa Resources Corp.</w:t>
      </w:r>
    </w:p>
    <w:p>
      <w:pPr>
        <w:spacing w:after="0" w:line="24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5"/>
          <w:szCs w:val="25"/>
          <w:b w:val="1"/>
          <w:bCs w:val="1"/>
          <w:color w:val="auto"/>
        </w:rPr>
        <w:t>$            % Senior Notes due 2029</w:t>
      </w:r>
    </w:p>
    <w:p>
      <w:pPr>
        <w:spacing w:after="0" w:line="22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5"/>
          <w:szCs w:val="25"/>
          <w:b w:val="1"/>
          <w:bCs w:val="1"/>
          <w:color w:val="auto"/>
        </w:rPr>
        <w:t>$            % Senior Notes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0" w:lineRule="exact"/>
        <w:rPr>
          <w:sz w:val="24"/>
          <w:szCs w:val="24"/>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4"/>
          <w:szCs w:val="14"/>
          <w:color w:val="auto"/>
        </w:rPr>
        <w:t>We are offering $        aggregate principal amount of our         % Senior Notes due 2029 (the “2029 notes”) and $        aggregate principal amount of our         % Senior Notes due 2036 (the “2036 notes”). In this prospectus supplement, the term “notes” collectively refers to the 2029 notes and the 2036 notes.</w:t>
      </w:r>
    </w:p>
    <w:p>
      <w:pPr>
        <w:spacing w:after="0" w:line="55" w:lineRule="exact"/>
        <w:rPr>
          <w:sz w:val="24"/>
          <w:szCs w:val="24"/>
          <w:color w:val="auto"/>
        </w:rPr>
      </w:pPr>
    </w:p>
    <w:p>
      <w:pPr>
        <w:ind w:left="120" w:right="120" w:firstLine="440"/>
        <w:spacing w:after="0" w:line="241" w:lineRule="auto"/>
        <w:rPr>
          <w:sz w:val="20"/>
          <w:szCs w:val="20"/>
          <w:color w:val="auto"/>
        </w:rPr>
      </w:pPr>
      <w:r>
        <w:rPr>
          <w:rFonts w:ascii="Times New Roman" w:cs="Times New Roman" w:eastAsia="Times New Roman" w:hAnsi="Times New Roman"/>
          <w:sz w:val="14"/>
          <w:szCs w:val="14"/>
          <w:color w:val="auto"/>
        </w:rPr>
        <w:t>The 2029 notes will bear interest at the rate of        % per year and will mature on        , 2029. The 2036 notes will bear interest at the rate of        % per year and will mature on        , 2036. Interest on the 2029 notes will be payable semi-annually on        and        of each year, beginning on        , 2026. Interest on the 2036 notes will be payable semi-annually on        and        of each year, beginning on        , 2026.</w:t>
      </w:r>
    </w:p>
    <w:p>
      <w:pPr>
        <w:spacing w:after="0" w:line="69" w:lineRule="exact"/>
        <w:rPr>
          <w:sz w:val="24"/>
          <w:szCs w:val="24"/>
          <w:color w:val="auto"/>
        </w:rPr>
      </w:pPr>
    </w:p>
    <w:p>
      <w:pPr>
        <w:ind w:left="120" w:right="40" w:firstLine="440"/>
        <w:spacing w:after="0" w:line="241" w:lineRule="auto"/>
        <w:rPr>
          <w:sz w:val="20"/>
          <w:szCs w:val="20"/>
          <w:color w:val="auto"/>
        </w:rPr>
      </w:pPr>
      <w:r>
        <w:rPr>
          <w:rFonts w:ascii="Times New Roman" w:cs="Times New Roman" w:eastAsia="Times New Roman" w:hAnsi="Times New Roman"/>
          <w:sz w:val="14"/>
          <w:szCs w:val="14"/>
          <w:color w:val="auto"/>
        </w:rPr>
        <w:t>We may redeem some or all of each series of the notes at our option at any time and from time to time prior to their maturity at the applicable redemption prices set forth in this prospectus supplement, plus accrued and unpaid interest. Please read the section entitled “</w:t>
      </w:r>
      <w:r>
        <w:rPr>
          <w:rFonts w:ascii="Times New Roman" w:cs="Times New Roman" w:eastAsia="Times New Roman" w:hAnsi="Times New Roman"/>
          <w:sz w:val="14"/>
          <w:szCs w:val="14"/>
          <w:i w:val="1"/>
          <w:iCs w:val="1"/>
          <w:color w:val="auto"/>
        </w:rPr>
        <w:t>Description of the Notes—Optional Redemption.</w:t>
      </w:r>
      <w:r>
        <w:rPr>
          <w:rFonts w:ascii="Times New Roman" w:cs="Times New Roman" w:eastAsia="Times New Roman" w:hAnsi="Times New Roman"/>
          <w:sz w:val="14"/>
          <w:szCs w:val="14"/>
          <w:color w:val="auto"/>
        </w:rPr>
        <w:t>” There will be no mandatory redemption or sinking fund payments for the notes or requirement to repurchase the notes at the option of the holders.</w:t>
      </w:r>
    </w:p>
    <w:p>
      <w:pPr>
        <w:spacing w:after="0" w:line="69" w:lineRule="exact"/>
        <w:rPr>
          <w:sz w:val="24"/>
          <w:szCs w:val="24"/>
          <w:color w:val="auto"/>
        </w:rPr>
      </w:pPr>
    </w:p>
    <w:p>
      <w:pPr>
        <w:ind w:left="120" w:right="80" w:firstLine="440"/>
        <w:spacing w:after="0" w:line="241" w:lineRule="auto"/>
        <w:rPr>
          <w:sz w:val="20"/>
          <w:szCs w:val="20"/>
          <w:color w:val="auto"/>
        </w:rPr>
      </w:pPr>
      <w:r>
        <w:rPr>
          <w:rFonts w:ascii="Times New Roman" w:cs="Times New Roman" w:eastAsia="Times New Roman" w:hAnsi="Times New Roman"/>
          <w:sz w:val="14"/>
          <w:szCs w:val="14"/>
          <w:color w:val="auto"/>
        </w:rPr>
        <w:t>We expect to use a portion of the net proceeds from this offering to redeem the 6.875% Senior Notes due 2029 (the “6.875% 2029 notes”) issued by Targa Resources Partners LP (“TRP” or the “Partnership”) and to use the remaining net proceeds for general corporate purposes, including to repay borrowings under our unsecured commercial paper note program (the “Commercial Paper Program”), to repay other indebtedness, to repurchase or redeem securities or to fund capital expenditures, additions to working capital or investments in our subsidiaries.</w:t>
      </w:r>
    </w:p>
    <w:p>
      <w:pPr>
        <w:spacing w:after="0" w:line="69" w:lineRule="exact"/>
        <w:rPr>
          <w:sz w:val="24"/>
          <w:szCs w:val="24"/>
          <w:color w:val="auto"/>
        </w:rPr>
      </w:pPr>
    </w:p>
    <w:p>
      <w:pPr>
        <w:ind w:left="120" w:firstLine="440"/>
        <w:spacing w:after="0"/>
        <w:rPr>
          <w:sz w:val="20"/>
          <w:szCs w:val="20"/>
          <w:color w:val="auto"/>
        </w:rPr>
      </w:pPr>
      <w:r>
        <w:rPr>
          <w:rFonts w:ascii="Times New Roman" w:cs="Times New Roman" w:eastAsia="Times New Roman" w:hAnsi="Times New Roman"/>
          <w:sz w:val="14"/>
          <w:szCs w:val="14"/>
          <w:color w:val="auto"/>
        </w:rPr>
        <w:t>The notes will be our senior unsecured obligations and will rank equally in right of payment with our current and future unsecured senior debt, including debt under our revolving credit facility and the Commercial Paper Program, and senior in right of payment to any future subordinated debt that we may incur. The notes will initially be fully and unconditionally guaranteed, jointly and severally, on a senior unsecured basis by certain of our subsidiaries (each, a “guarantor”). Each guarantee will rank equally in right of payment with all of such guarantor’s existing and future unsecured senior debt and other unsecured guarantees of senior debt. The notes and the guarantees will be effectively junior to any secured indebtedness of ours or any guarantor to the extent of the value of the assets securing such indebtedness and structurally subordinated to all indebtedness and other obligations of our subsidiaries that do not guarantee the notes.</w:t>
      </w:r>
    </w:p>
    <w:p>
      <w:pPr>
        <w:spacing w:after="0" w:line="194" w:lineRule="exact"/>
        <w:rPr>
          <w:sz w:val="24"/>
          <w:szCs w:val="24"/>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4"/>
          <w:szCs w:val="14"/>
          <w:color w:val="auto"/>
        </w:rPr>
        <w:t>Each series of the notes is a new issue of securities with no established trading market. We do not intend to apply for the listing of the notes on any securities exchange or for the quotation of the notes on any automated dealer quotation system.</w:t>
      </w:r>
    </w:p>
    <w:p>
      <w:pPr>
        <w:spacing w:after="0" w:line="55" w:lineRule="exact"/>
        <w:rPr>
          <w:sz w:val="24"/>
          <w:szCs w:val="24"/>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4"/>
          <w:szCs w:val="14"/>
          <w:color w:val="auto"/>
        </w:rPr>
        <w:t>Neither the U.S. Securities and Exchange Commission (the “SEC” or the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notes involves risks. Please read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color w:val="auto"/>
        </w:rPr>
        <w:t>” beginning on page S-6 of this prospectus supplement and on page 6 of the accompanying base prospectus.</w:t>
      </w:r>
    </w:p>
    <w:p>
      <w:pPr>
        <w:spacing w:after="0" w:line="4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Per 2029 Note</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Total 2029</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Per 2036 Note</w:t>
            </w:r>
          </w:p>
        </w:tc>
        <w:tc>
          <w:tcPr>
            <w:tcW w:w="740" w:type="dxa"/>
            <w:vAlign w:val="bottom"/>
          </w:tcPr>
          <w:p>
            <w:pPr>
              <w:spacing w:after="0"/>
              <w:rPr>
                <w:sz w:val="13"/>
                <w:szCs w:val="13"/>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2036</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Public offering price (1)</w:t>
            </w:r>
          </w:p>
        </w:tc>
        <w:tc>
          <w:tcPr>
            <w:tcW w:w="6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9"/>
              </w:rPr>
              <w:t> </w:t>
            </w:r>
          </w:p>
        </w:tc>
        <w:tc>
          <w:tcPr>
            <w:tcW w:w="420" w:type="dxa"/>
            <w:vAlign w:val="bottom"/>
            <w:tcBorders>
              <w:top w:val="single" w:sz="8" w:color="CCEEFF"/>
            </w:tcBorders>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740" w:type="dxa"/>
            <w:vAlign w:val="bottom"/>
            <w:tcBorders>
              <w:top w:val="single" w:sz="8" w:color="CCEEFF"/>
            </w:tcBorders>
            <w:shd w:val="clear" w:color="auto" w:fill="CCEEFF"/>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w:t>
            </w:r>
          </w:p>
        </w:tc>
        <w:tc>
          <w:tcPr>
            <w:tcW w:w="68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 </w:t>
            </w:r>
          </w:p>
        </w:tc>
        <w:tc>
          <w:tcPr>
            <w:tcW w:w="4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9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740" w:type="dxa"/>
            <w:vAlign w:val="bottom"/>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to Targa Resources Corp. (before expenses)</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 </w:t>
            </w:r>
          </w:p>
        </w:tc>
        <w:tc>
          <w:tcPr>
            <w:tcW w:w="42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9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740" w:type="dxa"/>
            <w:vAlign w:val="bottom"/>
            <w:shd w:val="clear" w:color="auto" w:fill="CCEEFF"/>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from            , 2025, if any.</w:t>
      </w:r>
    </w:p>
    <w:p>
      <w:pPr>
        <w:spacing w:after="0" w:line="94" w:lineRule="exact"/>
        <w:rPr>
          <w:sz w:val="24"/>
          <w:szCs w:val="24"/>
          <w:color w:val="auto"/>
        </w:rPr>
      </w:pPr>
    </w:p>
    <w:p>
      <w:pPr>
        <w:ind w:left="120" w:right="440" w:firstLine="440"/>
        <w:spacing w:after="0" w:line="264" w:lineRule="auto"/>
        <w:rPr>
          <w:sz w:val="20"/>
          <w:szCs w:val="20"/>
          <w:color w:val="auto"/>
        </w:rPr>
      </w:pPr>
      <w:r>
        <w:rPr>
          <w:rFonts w:ascii="Times New Roman" w:cs="Times New Roman" w:eastAsia="Times New Roman" w:hAnsi="Times New Roman"/>
          <w:sz w:val="14"/>
          <w:szCs w:val="14"/>
          <w:color w:val="auto"/>
        </w:rPr>
        <w:t xml:space="preserve">The underwriters expect to deliver the notes in registered book-entry form only through the facilities of The Depository Trust Company, including Clearstream Banking, </w:t>
      </w:r>
      <w:r>
        <w:rPr>
          <w:rFonts w:ascii="Times New Roman" w:cs="Times New Roman" w:eastAsia="Times New Roman" w:hAnsi="Times New Roman"/>
          <w:sz w:val="14"/>
          <w:szCs w:val="14"/>
          <w:i w:val="1"/>
          <w:iCs w:val="1"/>
          <w:color w:val="auto"/>
        </w:rPr>
        <w:t>société</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anonyme</w:t>
      </w:r>
      <w:r>
        <w:rPr>
          <w:rFonts w:ascii="Times New Roman" w:cs="Times New Roman" w:eastAsia="Times New Roman" w:hAnsi="Times New Roman"/>
          <w:sz w:val="14"/>
          <w:szCs w:val="14"/>
          <w:color w:val="auto"/>
        </w:rPr>
        <w:t>, Luxembourg and Euroclear Bank NV/SA, on or about 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Joint Book-Running Managers</w:t>
      </w:r>
    </w:p>
    <w:p>
      <w:pPr>
        <w:spacing w:after="0" w:line="140" w:lineRule="exact"/>
        <w:rPr>
          <w:sz w:val="24"/>
          <w:szCs w:val="24"/>
          <w:color w:val="auto"/>
        </w:rPr>
      </w:pPr>
    </w:p>
    <w:p>
      <w:pPr>
        <w:jc w:val="center"/>
        <w:ind w:left="580" w:right="700"/>
        <w:spacing w:after="0" w:line="371" w:lineRule="auto"/>
        <w:rPr>
          <w:sz w:val="20"/>
          <w:szCs w:val="20"/>
          <w:color w:val="auto"/>
        </w:rPr>
      </w:pPr>
      <w:r>
        <w:rPr>
          <w:rFonts w:ascii="Times New Roman" w:cs="Times New Roman" w:eastAsia="Times New Roman" w:hAnsi="Times New Roman"/>
          <w:sz w:val="16"/>
          <w:szCs w:val="16"/>
          <w:b w:val="1"/>
          <w:bCs w:val="1"/>
          <w:color w:val="auto"/>
        </w:rPr>
        <w:t>BofA Securities                      Citigroup                   RBC Capital Markets               Truist Securities The date of this prospectus supplement is            ,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7"/>
              </w:rPr>
              <w:t>Summary</w:t>
            </w:r>
          </w:p>
        </w:tc>
        <w:tc>
          <w:tcPr>
            <w:tcW w:w="7660" w:type="dxa"/>
            <w:vAlign w:val="bottom"/>
            <w:gridSpan w:val="19"/>
            <w:vMerge w:val="restart"/>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0"/>
        </w:trPr>
        <w:tc>
          <w:tcPr>
            <w:tcW w:w="700" w:type="dxa"/>
            <w:vAlign w:val="bottom"/>
            <w:tcBorders>
              <w:bottom w:val="single" w:sz="8" w:color="0000EE"/>
            </w:tcBorders>
            <w:gridSpan w:val="3"/>
            <w:vMerge w:val="continue"/>
          </w:tcPr>
          <w:p>
            <w:pPr>
              <w:spacing w:after="0"/>
              <w:rPr>
                <w:sz w:val="15"/>
                <w:szCs w:val="15"/>
                <w:color w:val="auto"/>
              </w:rPr>
            </w:pPr>
          </w:p>
        </w:tc>
        <w:tc>
          <w:tcPr>
            <w:tcW w:w="7660" w:type="dxa"/>
            <w:vAlign w:val="bottom"/>
            <w:gridSpan w:val="19"/>
            <w:vMerge w:val="continue"/>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140" w:type="dxa"/>
            <w:vAlign w:val="bottom"/>
            <w:tcBorders>
              <w:top w:val="single" w:sz="8" w:color="0000EE"/>
            </w:tcBorders>
          </w:tcPr>
          <w:p>
            <w:pPr>
              <w:spacing w:after="0"/>
              <w:rPr>
                <w:sz w:val="17"/>
                <w:szCs w:val="17"/>
                <w:color w:val="auto"/>
              </w:rPr>
            </w:pPr>
          </w:p>
        </w:tc>
        <w:tc>
          <w:tcPr>
            <w:tcW w:w="7200" w:type="dxa"/>
            <w:vAlign w:val="bottom"/>
            <w:gridSpan w:val="15"/>
          </w:tcPr>
          <w:p>
            <w:pPr>
              <w:spacing w:after="0"/>
              <w:rPr>
                <w:sz w:val="17"/>
                <w:szCs w:val="17"/>
                <w:color w:val="auto"/>
              </w:rPr>
            </w:pPr>
          </w:p>
        </w:tc>
        <w:tc>
          <w:tcPr>
            <w:tcW w:w="22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6600" w:type="dxa"/>
            <w:vAlign w:val="bottom"/>
            <w:gridSpan w:val="9"/>
          </w:tcPr>
          <w:p>
            <w:pPr>
              <w:spacing w:after="0"/>
              <w:rPr>
                <w:sz w:val="17"/>
                <w:szCs w:val="17"/>
                <w:color w:val="auto"/>
              </w:rPr>
            </w:pPr>
          </w:p>
        </w:tc>
        <w:tc>
          <w:tcPr>
            <w:tcW w:w="22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United States Federal Income Tax Consequences</w:t>
            </w:r>
          </w:p>
        </w:tc>
        <w:tc>
          <w:tcPr>
            <w:tcW w:w="4260" w:type="dxa"/>
            <w:vAlign w:val="bottom"/>
            <w:gridSpan w:val="2"/>
          </w:tcPr>
          <w:p>
            <w:pPr>
              <w:spacing w:after="0"/>
              <w:rPr>
                <w:sz w:val="17"/>
                <w:szCs w:val="17"/>
                <w:color w:val="auto"/>
              </w:rPr>
            </w:pPr>
          </w:p>
        </w:tc>
        <w:tc>
          <w:tcPr>
            <w:tcW w:w="22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22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w:t>
            </w:r>
          </w:p>
        </w:tc>
        <w:tc>
          <w:tcPr>
            <w:tcW w:w="5800" w:type="dxa"/>
            <w:vAlign w:val="bottom"/>
            <w:gridSpan w:val="4"/>
          </w:tcPr>
          <w:p>
            <w:pPr>
              <w:spacing w:after="0"/>
              <w:rPr>
                <w:sz w:val="17"/>
                <w:szCs w:val="17"/>
                <w:color w:val="auto"/>
              </w:rPr>
            </w:pPr>
          </w:p>
        </w:tc>
        <w:tc>
          <w:tcPr>
            <w:tcW w:w="22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5500" w:type="dxa"/>
            <w:vAlign w:val="bottom"/>
            <w:gridSpan w:val="3"/>
          </w:tcPr>
          <w:p>
            <w:pPr>
              <w:spacing w:after="0"/>
              <w:rPr>
                <w:sz w:val="17"/>
                <w:szCs w:val="17"/>
                <w:color w:val="auto"/>
              </w:rPr>
            </w:pPr>
          </w:p>
        </w:tc>
        <w:tc>
          <w:tcPr>
            <w:tcW w:w="22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668"/>
        </w:trPr>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6720" w:type="dxa"/>
            <w:vAlign w:val="bottom"/>
            <w:gridSpan w:val="11"/>
            <w:vMerge w:val="restart"/>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1"/>
        </w:trPr>
        <w:tc>
          <w:tcPr>
            <w:tcW w:w="1640" w:type="dxa"/>
            <w:vAlign w:val="bottom"/>
            <w:tcBorders>
              <w:bottom w:val="single" w:sz="8" w:color="0000EE"/>
            </w:tcBorders>
            <w:gridSpan w:val="11"/>
            <w:vMerge w:val="continue"/>
          </w:tcPr>
          <w:p>
            <w:pPr>
              <w:spacing w:after="0"/>
              <w:rPr>
                <w:sz w:val="15"/>
                <w:szCs w:val="15"/>
                <w:color w:val="auto"/>
              </w:rPr>
            </w:pPr>
          </w:p>
        </w:tc>
        <w:tc>
          <w:tcPr>
            <w:tcW w:w="6720" w:type="dxa"/>
            <w:vAlign w:val="bottom"/>
            <w:gridSpan w:val="11"/>
            <w:vMerge w:val="continue"/>
          </w:tcPr>
          <w:p>
            <w:pPr>
              <w:spacing w:after="0"/>
              <w:rPr>
                <w:sz w:val="15"/>
                <w:szCs w:val="15"/>
                <w:color w:val="auto"/>
              </w:rPr>
            </w:pPr>
          </w:p>
        </w:tc>
        <w:tc>
          <w:tcPr>
            <w:tcW w:w="2300" w:type="dxa"/>
            <w:vAlign w:val="bottom"/>
            <w:gridSpan w:val="2"/>
          </w:tcPr>
          <w:p>
            <w:pPr>
              <w:spacing w:after="0"/>
              <w:rPr>
                <w:sz w:val="15"/>
                <w:szCs w:val="15"/>
                <w:color w:val="auto"/>
              </w:rPr>
            </w:pPr>
          </w:p>
        </w:tc>
        <w:tc>
          <w:tcPr>
            <w:tcW w:w="3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Targa Resources Corp</w:t>
            </w: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Statement About Forward-Looking Statements</w:t>
            </w:r>
          </w:p>
        </w:tc>
        <w:tc>
          <w:tcPr>
            <w:tcW w:w="4140" w:type="dxa"/>
            <w:vAlign w:val="bottom"/>
          </w:tcPr>
          <w:p>
            <w:pPr>
              <w:spacing w:after="0"/>
              <w:rPr>
                <w:sz w:val="17"/>
                <w:szCs w:val="17"/>
                <w:color w:val="auto"/>
              </w:rPr>
            </w:pP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180" w:type="dxa"/>
            <w:vAlign w:val="bottom"/>
            <w:gridSpan w:val="14"/>
          </w:tcPr>
          <w:p>
            <w:pPr>
              <w:spacing w:after="0"/>
              <w:rPr>
                <w:sz w:val="17"/>
                <w:szCs w:val="17"/>
                <w:color w:val="auto"/>
              </w:rPr>
            </w:pP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6180" w:type="dxa"/>
            <w:vAlign w:val="bottom"/>
            <w:gridSpan w:val="6"/>
          </w:tcPr>
          <w:p>
            <w:pPr>
              <w:spacing w:after="0"/>
              <w:rPr>
                <w:sz w:val="17"/>
                <w:szCs w:val="17"/>
                <w:color w:val="auto"/>
              </w:rPr>
            </w:pP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5980" w:type="dxa"/>
            <w:vAlign w:val="bottom"/>
            <w:gridSpan w:val="5"/>
          </w:tcPr>
          <w:p>
            <w:pPr>
              <w:spacing w:after="0"/>
              <w:rPr>
                <w:sz w:val="17"/>
                <w:szCs w:val="17"/>
                <w:color w:val="auto"/>
              </w:rPr>
            </w:pP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10"/>
          </w:tcPr>
          <w:p>
            <w:pPr>
              <w:spacing w:after="0"/>
              <w:rPr>
                <w:sz w:val="17"/>
                <w:szCs w:val="17"/>
                <w:color w:val="auto"/>
              </w:rPr>
            </w:pP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6940" w:type="dxa"/>
            <w:vAlign w:val="bottom"/>
            <w:gridSpan w:val="13"/>
          </w:tcPr>
          <w:p>
            <w:pPr>
              <w:spacing w:after="0"/>
              <w:rPr>
                <w:sz w:val="17"/>
                <w:szCs w:val="17"/>
                <w:color w:val="auto"/>
              </w:rPr>
            </w:pP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360" w:type="dxa"/>
            <w:vAlign w:val="bottom"/>
            <w:gridSpan w:val="17"/>
          </w:tcPr>
          <w:p>
            <w:pPr>
              <w:spacing w:after="0"/>
              <w:rPr>
                <w:sz w:val="17"/>
                <w:szCs w:val="17"/>
                <w:color w:val="auto"/>
              </w:rPr>
            </w:pPr>
          </w:p>
        </w:tc>
        <w:tc>
          <w:tcPr>
            <w:tcW w:w="262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20" w:type="dxa"/>
            <w:vAlign w:val="bottom"/>
            <w:gridSpan w:val="20"/>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0" w:type="dxa"/>
            <w:vAlign w:val="bottom"/>
          </w:tcPr>
          <w:p>
            <w:pPr>
              <w:spacing w:after="0"/>
              <w:rPr>
                <w:sz w:val="24"/>
                <w:szCs w:val="24"/>
                <w:color w:val="auto"/>
              </w:rPr>
            </w:pPr>
          </w:p>
        </w:tc>
        <w:tc>
          <w:tcPr>
            <w:tcW w:w="79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w w:val="99"/>
              </w:rPr>
              <w:t>We expect that delivery of the notes will be made to investors on or about            , 2025, which will be the </w:t>
            </w:r>
          </w:p>
        </w:tc>
        <w:tc>
          <w:tcPr>
            <w:tcW w:w="2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business day following the</w:t>
            </w:r>
          </w:p>
        </w:tc>
        <w:tc>
          <w:tcPr>
            <w:tcW w:w="0" w:type="dxa"/>
            <w:vAlign w:val="bottom"/>
          </w:tcPr>
          <w:p>
            <w:pPr>
              <w:spacing w:after="0"/>
              <w:rPr>
                <w:sz w:val="1"/>
                <w:szCs w:val="1"/>
                <w:color w:val="auto"/>
              </w:rPr>
            </w:pPr>
          </w:p>
        </w:tc>
      </w:tr>
    </w:tbl>
    <w:p>
      <w:pPr>
        <w:ind w:left="120" w:right="20"/>
        <w:spacing w:after="0" w:line="253" w:lineRule="auto"/>
        <w:rPr>
          <w:sz w:val="20"/>
          <w:szCs w:val="20"/>
          <w:color w:val="auto"/>
        </w:rPr>
      </w:pPr>
      <w:r>
        <w:rPr>
          <w:rFonts w:ascii="Times New Roman" w:cs="Times New Roman" w:eastAsia="Times New Roman" w:hAnsi="Times New Roman"/>
          <w:sz w:val="18"/>
          <w:szCs w:val="18"/>
          <w:color w:val="auto"/>
        </w:rPr>
        <w:t>date hereof (such settlement being referred to as “T+  ”). Under Rule 15c6-1 under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business day before delivery of the notes hereunder may be required, by virtue of the fact that the notes initially settle in T+  , to specify an alternate settlement cycle at the time of any such trade to prevent a failed settlement and such purchasers should consult their own advisors.</w:t>
      </w:r>
    </w:p>
    <w:p>
      <w:pPr>
        <w:spacing w:after="0" w:line="18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Neither we nor the underwriters have authorized anyone to provide any information other than that which is contained or incorporated by reference in this prospectus supplement, the accompanying prospectus or any free writing prospectus prepared by or on behalf of us or to which we have referred you. Neither we nor the underwriters take any responsibility for, or provide any assurance as to, the reliability of any other information that others may give you. This prospectus supplement and the accompanying base prospectus do not constitute an offer to sell or the solicitation of an offer to buy any securities other than the registered securities to which they relate, nor does this prospectus supplement or the</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20"/>
        <w:spacing w:after="0" w:line="257" w:lineRule="auto"/>
        <w:rPr>
          <w:sz w:val="20"/>
          <w:szCs w:val="20"/>
          <w:color w:val="auto"/>
        </w:rPr>
      </w:pPr>
      <w:r>
        <w:rPr>
          <w:rFonts w:ascii="Times New Roman" w:cs="Times New Roman" w:eastAsia="Times New Roman" w:hAnsi="Times New Roman"/>
          <w:sz w:val="18"/>
          <w:szCs w:val="18"/>
          <w:b w:val="1"/>
          <w:bCs w:val="1"/>
          <w:color w:val="auto"/>
        </w:rPr>
        <w:t>accompanying base prospectus constitute an offer to sell or the solicitation of an offer to buy securities in any jurisdiction to any person to whom it is unlawful to make such offer or solicitation in such jurisdiction. The information contained or incorporated by reference in this prospectus supplement, the accompanying prospectus or any free writing prospectus is accurate as of the date of the document in which the information appears. You should not assume that the information contained in this prospectus supplement or the accompanying base prospectus or in any free writing prospectus is accurate on any date other than the respective date of such document. Our business, financial condition, results of operations and prospects may have changed after any of such dates.</w:t>
      </w:r>
    </w:p>
    <w:p>
      <w:pPr>
        <w:spacing w:after="0" w:line="3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about this prospectus supplement</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The second part is the accompanying base prospectus, which gives more general information, some of which may not apply to this offering of notes. Generally, when we refer only to the “prospectus,” we are referring to both parts combined. If information varies between this prospectus supplement and the accompanying base prospectus, you should rely on the information in this prospectus supplement.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statement made in this prospectus supplement, the accompanying base prospectus or in a document incorporated or deemed to be incorporated by reference into this prospectus supplement or the accompanying base prospectus will be deemed to be modified or superseded for purposes of this prospectus supplement to the extent that a statement contained in this prospectus supplement, the accompanying base prospectus or in any other subsequently filed document that is also incorporated by reference into this prospectus supplement modifies or supersedes that statement. Any statement so modified or superseded will not be deemed, except as so modified or superseded, to constitute a part of this prospectus supplement or the accompanying base prospectus. Please read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prospectus supplement and the accompanying base prospectus for more information.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7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Please read “Risk Factors” beginning on page S-5 of this prospectus supplement and page 6 of the accompanying base prospectus for more information about important risks that you should consider before investing in the notes.</w:t>
      </w:r>
    </w:p>
    <w:p>
      <w:pPr>
        <w:spacing w:after="0" w:line="183" w:lineRule="exact"/>
        <w:rPr>
          <w:sz w:val="20"/>
          <w:szCs w:val="20"/>
          <w:color w:val="auto"/>
        </w:rPr>
      </w:pPr>
    </w:p>
    <w:p>
      <w:pPr>
        <w:ind w:left="300" w:right="2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prospectus supplement, when we use the terms “Targa,” “we,” “us,” “our” or the “Company,” we are referring either to Targa Resources Corp. in its individual capacity or to Targa Resources Corp. and its subsidiaries collectively, as the context requires.</w:t>
      </w:r>
    </w:p>
    <w:p>
      <w:pPr>
        <w:spacing w:after="0" w:line="3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40" w:firstLine="426"/>
        <w:spacing w:after="0" w:line="256" w:lineRule="auto"/>
        <w:rPr>
          <w:sz w:val="20"/>
          <w:szCs w:val="20"/>
          <w:color w:val="auto"/>
        </w:rPr>
      </w:pPr>
      <w:r>
        <w:rPr>
          <w:rFonts w:ascii="Times New Roman" w:cs="Times New Roman" w:eastAsia="Times New Roman" w:hAnsi="Times New Roman"/>
          <w:sz w:val="18"/>
          <w:szCs w:val="18"/>
          <w:color w:val="auto"/>
        </w:rPr>
        <w:t>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 The Company is primarily engaged in the business of: (i) gathering, compressing, treating, processing, transporting and purchasing and selling natural gas; (ii) transporting, storing, fractionating, treating and purchasing and selling natural gas liquids (“NGL(s)”) and NGL products, including services to liquified petroleum gas exporters; and (iii) gathering, storing, terminaling and purchasing and selling crude oil. The Partnership is a wholly owned subsidiary of the Company.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Principal Executive Offices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811 Louisiana St., Suite 2100, Houston, Texas 77002, and our telephone number is (713) 584-1000. Our website is located at </w:t>
      </w:r>
      <w:r>
        <w:rPr>
          <w:rFonts w:ascii="Times New Roman" w:cs="Times New Roman" w:eastAsia="Times New Roman" w:hAnsi="Times New Roman"/>
          <w:sz w:val="18"/>
          <w:szCs w:val="18"/>
          <w:i w:val="1"/>
          <w:iCs w:val="1"/>
          <w:color w:val="auto"/>
        </w:rPr>
        <w:t>www.targaresources.com</w:t>
      </w:r>
      <w:r>
        <w:rPr>
          <w:rFonts w:ascii="Times New Roman" w:cs="Times New Roman" w:eastAsia="Times New Roman" w:hAnsi="Times New Roman"/>
          <w:sz w:val="18"/>
          <w:szCs w:val="18"/>
          <w:color w:val="auto"/>
        </w:rPr>
        <w:t>. We make our periodic reports and other information filed with or furnished to the SEC available, free of charge, through our website, as soon as reasonably practicable after those reports and other information are electronically filed with or furnished to the Commission. The information on our website is not part of this prospectus supplement, and you should rely only on information contained or incorporated by reference in this prospectus supplement, and the accompanying base prospectus, when making a decision to invest or not invest in the notes.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us, including our corporate structure and management, please refer to the documents set forth under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 in this prospectus supplement, including our most recent Annual Report on Form 10-K, our subsequent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on Form 10-Q and Current Reports on Form 8-K (other than, in each case, information furnished rather than filed), all of which are incorporated by reference herein.</w:t>
      </w:r>
    </w:p>
    <w:p>
      <w:pPr>
        <w:spacing w:after="0" w:line="3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3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diagram below depicts our simplified ownership structure after giving effect to the consummation of this offering and the use of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20" w:right="40" w:hanging="422"/>
        <w:spacing w:after="0" w:line="257"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guarantee all of the Partnership’s outstanding senior unsecured notes. Our guarantor subsidiaries, including the Partnership, guarantee our revolving credit facility as well as the Commercial Paper Program and will guarantee the notes offered hereby. Certain of our guarantor subsidiaries collectively directly or indirectly own 100% of the outstanding general partner and limited partner interests in the Partnership.</w:t>
      </w:r>
    </w:p>
    <w:p>
      <w:pPr>
        <w:spacing w:after="0" w:line="1" w:lineRule="exact"/>
        <w:rPr>
          <w:rFonts w:ascii="Times New Roman" w:cs="Times New Roman" w:eastAsia="Times New Roman" w:hAnsi="Times New Roman"/>
          <w:sz w:val="18"/>
          <w:szCs w:val="18"/>
          <w:color w:val="auto"/>
        </w:rPr>
      </w:pPr>
    </w:p>
    <w:p>
      <w:pPr>
        <w:ind w:left="720" w:right="120" w:hanging="422"/>
        <w:spacing w:after="0" w:line="255"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Commercial Paper Program are supported through maintaining a minimum available borrowing capacity under our revolving credit facility equal to the aggregate amount outstanding under the Commercial Paper Program, and we reflect such borrowings as amounts outstanding under our revolving credit facility in our Consolidated Financial Statements.</w:t>
      </w: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8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We provide the following summary solely for your convenience. This summary is not a complete description of the notes. You should read the full text of, and more specific details contained elsewhere in, this prospectus supplement and the accompanying base prospectus. For a more detailed description of the notes, please read the section entitled “Description of the Notes” in this prospectus supplement and the section entitled “Description of Debt Securities” in the accompanying base prospectus.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2760" w:type="dxa"/>
            <w:vAlign w:val="bottom"/>
            <w:gridSpan w:val="8"/>
          </w:tcPr>
          <w:p>
            <w:pPr>
              <w:ind w:left="1040"/>
              <w:spacing w:after="0"/>
              <w:rPr>
                <w:sz w:val="20"/>
                <w:szCs w:val="20"/>
                <w:color w:val="auto"/>
              </w:rPr>
            </w:pPr>
            <w:r>
              <w:rPr>
                <w:rFonts w:ascii="Times New Roman" w:cs="Times New Roman" w:eastAsia="Times New Roman" w:hAnsi="Times New Roman"/>
                <w:sz w:val="18"/>
                <w:szCs w:val="18"/>
                <w:color w:val="auto"/>
              </w:rPr>
              <w:t>Targa Resources Corp.</w:t>
            </w: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Notes Offered</w:t>
            </w:r>
          </w:p>
        </w:tc>
        <w:tc>
          <w:tcPr>
            <w:tcW w:w="2460" w:type="dxa"/>
            <w:vAlign w:val="bottom"/>
            <w:gridSpan w:val="6"/>
          </w:tcPr>
          <w:p>
            <w:pPr>
              <w:ind w:left="1040"/>
              <w:spacing w:after="0"/>
              <w:rPr>
                <w:sz w:val="20"/>
                <w:szCs w:val="20"/>
                <w:color w:val="auto"/>
              </w:rPr>
            </w:pPr>
            <w:r>
              <w:rPr>
                <w:rFonts w:ascii="Times New Roman" w:cs="Times New Roman" w:eastAsia="Times New Roman" w:hAnsi="Times New Roman"/>
                <w:sz w:val="18"/>
                <w:szCs w:val="18"/>
                <w:color w:val="auto"/>
              </w:rPr>
              <w:t xml:space="preserve">We are offering $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0"/>
              </w:rPr>
              <w:t>   aggregate principal amount of 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94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color w:val="auto"/>
                <w:w w:val="97"/>
              </w:rPr>
              <w:t>   % Senior Notes due</w:t>
            </w:r>
          </w:p>
        </w:tc>
      </w:tr>
      <w:tr>
        <w:trPr>
          <w:trHeight w:val="234"/>
        </w:trPr>
        <w:tc>
          <w:tcPr>
            <w:tcW w:w="3000" w:type="dxa"/>
            <w:vAlign w:val="bottom"/>
          </w:tcPr>
          <w:p>
            <w:pPr>
              <w:spacing w:after="0"/>
              <w:rPr>
                <w:sz w:val="20"/>
                <w:szCs w:val="20"/>
                <w:color w:val="auto"/>
              </w:rPr>
            </w:pPr>
          </w:p>
        </w:tc>
        <w:tc>
          <w:tcPr>
            <w:tcW w:w="19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xml:space="preserve">2029 and $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5"/>
              </w:rPr>
              <w:t>aggregate principal amount of 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18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color w:val="auto"/>
              </w:rPr>
              <w:t>% Senior Notes due 2036.</w:t>
            </w:r>
          </w:p>
        </w:tc>
      </w:tr>
      <w:tr>
        <w:trPr>
          <w:trHeight w:val="44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7580" w:type="dxa"/>
            <w:vAlign w:val="bottom"/>
            <w:gridSpan w:val="18"/>
          </w:tcPr>
          <w:p>
            <w:pPr>
              <w:ind w:left="1040"/>
              <w:spacing w:after="0"/>
              <w:rPr>
                <w:sz w:val="20"/>
                <w:szCs w:val="20"/>
                <w:color w:val="auto"/>
              </w:rPr>
            </w:pPr>
            <w:r>
              <w:rPr>
                <w:rFonts w:ascii="Times New Roman" w:cs="Times New Roman" w:eastAsia="Times New Roman" w:hAnsi="Times New Roman"/>
                <w:sz w:val="18"/>
                <w:szCs w:val="18"/>
                <w:color w:val="auto"/>
              </w:rPr>
              <w:t>The 2029 notes will mature on            , 2029. The 2036 notes will mature on            ,</w:t>
            </w:r>
          </w:p>
        </w:tc>
      </w:tr>
      <w:tr>
        <w:trPr>
          <w:trHeight w:val="234"/>
        </w:trPr>
        <w:tc>
          <w:tcPr>
            <w:tcW w:w="3000" w:type="dxa"/>
            <w:vAlign w:val="bottom"/>
          </w:tcPr>
          <w:p>
            <w:pPr>
              <w:spacing w:after="0"/>
              <w:rPr>
                <w:sz w:val="20"/>
                <w:szCs w:val="20"/>
                <w:color w:val="auto"/>
              </w:rPr>
            </w:pPr>
          </w:p>
        </w:tc>
        <w:tc>
          <w:tcPr>
            <w:tcW w:w="1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2036.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4820" w:type="dxa"/>
            <w:vAlign w:val="bottom"/>
            <w:gridSpan w:val="9"/>
          </w:tcPr>
          <w:p>
            <w:pPr>
              <w:ind w:left="1040"/>
              <w:spacing w:after="0"/>
              <w:rPr>
                <w:sz w:val="20"/>
                <w:szCs w:val="20"/>
                <w:color w:val="auto"/>
              </w:rPr>
            </w:pPr>
            <w:r>
              <w:rPr>
                <w:rFonts w:ascii="Times New Roman" w:cs="Times New Roman" w:eastAsia="Times New Roman" w:hAnsi="Times New Roman"/>
                <w:sz w:val="18"/>
                <w:szCs w:val="18"/>
                <w:color w:val="auto"/>
              </w:rPr>
              <w:t xml:space="preserve">The 2029 notes will bear interest at the rate of 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5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per annum, accruing</w:t>
            </w:r>
          </w:p>
        </w:tc>
      </w:tr>
      <w:tr>
        <w:trPr>
          <w:trHeight w:val="216"/>
        </w:trPr>
        <w:tc>
          <w:tcPr>
            <w:tcW w:w="3000" w:type="dxa"/>
            <w:vAlign w:val="bottom"/>
          </w:tcPr>
          <w:p>
            <w:pPr>
              <w:spacing w:after="0"/>
              <w:rPr>
                <w:sz w:val="18"/>
                <w:szCs w:val="18"/>
                <w:color w:val="auto"/>
              </w:rPr>
            </w:pPr>
          </w:p>
        </w:tc>
        <w:tc>
          <w:tcPr>
            <w:tcW w:w="150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2"/>
              </w:rPr>
              <w:t>from 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42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w w:val="96"/>
              </w:rPr>
              <w:t>   , 2025. The 2036 notes will bear interest at the rate of 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 per</w:t>
            </w:r>
          </w:p>
        </w:tc>
      </w:tr>
      <w:tr>
        <w:trPr>
          <w:trHeight w:val="234"/>
        </w:trPr>
        <w:tc>
          <w:tcPr>
            <w:tcW w:w="3000" w:type="dxa"/>
            <w:vAlign w:val="bottom"/>
          </w:tcPr>
          <w:p>
            <w:pPr>
              <w:spacing w:after="0"/>
              <w:rPr>
                <w:sz w:val="20"/>
                <w:szCs w:val="20"/>
                <w:color w:val="auto"/>
              </w:rPr>
            </w:pPr>
          </w:p>
        </w:tc>
        <w:tc>
          <w:tcPr>
            <w:tcW w:w="2760" w:type="dxa"/>
            <w:vAlign w:val="bottom"/>
            <w:gridSpan w:val="8"/>
          </w:tcPr>
          <w:p>
            <w:pPr>
              <w:ind w:left="1040"/>
              <w:spacing w:after="0"/>
              <w:rPr>
                <w:sz w:val="20"/>
                <w:szCs w:val="20"/>
                <w:color w:val="auto"/>
              </w:rPr>
            </w:pPr>
            <w:r>
              <w:rPr>
                <w:rFonts w:ascii="Times New Roman" w:cs="Times New Roman" w:eastAsia="Times New Roman" w:hAnsi="Times New Roman"/>
                <w:sz w:val="18"/>
                <w:szCs w:val="18"/>
                <w:color w:val="auto"/>
                <w:w w:val="95"/>
              </w:rPr>
              <w:t>annum, accruing from </w:t>
            </w: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2025.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5020" w:type="dxa"/>
            <w:vAlign w:val="bottom"/>
            <w:gridSpan w:val="10"/>
          </w:tcPr>
          <w:p>
            <w:pPr>
              <w:ind w:left="1040"/>
              <w:spacing w:after="0"/>
              <w:rPr>
                <w:sz w:val="20"/>
                <w:szCs w:val="20"/>
                <w:color w:val="auto"/>
              </w:rPr>
            </w:pPr>
            <w:r>
              <w:rPr>
                <w:rFonts w:ascii="Times New Roman" w:cs="Times New Roman" w:eastAsia="Times New Roman" w:hAnsi="Times New Roman"/>
                <w:sz w:val="18"/>
                <w:szCs w:val="18"/>
                <w:color w:val="auto"/>
                <w:w w:val="96"/>
              </w:rPr>
              <w:t>Interest is payable semi-annually on the 2029 notes on 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and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of each</w:t>
            </w:r>
          </w:p>
        </w:tc>
      </w:tr>
      <w:tr>
        <w:trPr>
          <w:trHeight w:val="216"/>
        </w:trPr>
        <w:tc>
          <w:tcPr>
            <w:tcW w:w="3000" w:type="dxa"/>
            <w:vAlign w:val="bottom"/>
          </w:tcPr>
          <w:p>
            <w:pPr>
              <w:spacing w:after="0"/>
              <w:rPr>
                <w:sz w:val="18"/>
                <w:szCs w:val="18"/>
                <w:color w:val="auto"/>
              </w:rPr>
            </w:pPr>
          </w:p>
        </w:tc>
        <w:tc>
          <w:tcPr>
            <w:tcW w:w="228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w w:val="93"/>
              </w:rPr>
              <w:t>year, beginning </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8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 2026. Interest is payable semi-annually on the 2036 notes</w:t>
            </w:r>
          </w:p>
        </w:tc>
      </w:tr>
      <w:tr>
        <w:trPr>
          <w:trHeight w:val="234"/>
        </w:trPr>
        <w:tc>
          <w:tcPr>
            <w:tcW w:w="3000" w:type="dxa"/>
            <w:vAlign w:val="bottom"/>
          </w:tcPr>
          <w:p>
            <w:pPr>
              <w:spacing w:after="0"/>
              <w:rPr>
                <w:sz w:val="20"/>
                <w:szCs w:val="20"/>
                <w:color w:val="auto"/>
              </w:rPr>
            </w:pPr>
          </w:p>
        </w:tc>
        <w:tc>
          <w:tcPr>
            <w:tcW w:w="1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 xml:space="preserve">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380" w:type="dxa"/>
            <w:vAlign w:val="bottom"/>
            <w:gridSpan w:val="2"/>
          </w:tcPr>
          <w:p>
            <w:pPr>
              <w:jc w:val="center"/>
              <w:ind w:left="6"/>
              <w:spacing w:after="0"/>
              <w:rPr>
                <w:sz w:val="20"/>
                <w:szCs w:val="20"/>
                <w:color w:val="auto"/>
              </w:rPr>
            </w:pPr>
            <w:r>
              <w:rPr>
                <w:rFonts w:ascii="Times New Roman" w:cs="Times New Roman" w:eastAsia="Times New Roman" w:hAnsi="Times New Roman"/>
                <w:sz w:val="17"/>
                <w:szCs w:val="17"/>
                <w:color w:val="auto"/>
                <w:w w:val="72"/>
              </w:rPr>
              <w:t>and 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4"/>
              </w:rPr>
              <w:t>   of each year, beginning 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6"/>
              </w:rPr>
              <w:t>, 2026.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 Mandatory Redemption</w:t>
            </w:r>
          </w:p>
        </w:tc>
        <w:tc>
          <w:tcPr>
            <w:tcW w:w="7580" w:type="dxa"/>
            <w:vAlign w:val="bottom"/>
            <w:gridSpan w:val="18"/>
          </w:tcPr>
          <w:p>
            <w:pPr>
              <w:ind w:left="1040"/>
              <w:spacing w:after="0"/>
              <w:rPr>
                <w:sz w:val="20"/>
                <w:szCs w:val="20"/>
                <w:color w:val="auto"/>
              </w:rPr>
            </w:pPr>
            <w:r>
              <w:rPr>
                <w:rFonts w:ascii="Times New Roman" w:cs="Times New Roman" w:eastAsia="Times New Roman" w:hAnsi="Times New Roman"/>
                <w:sz w:val="18"/>
                <w:szCs w:val="18"/>
                <w:color w:val="auto"/>
              </w:rPr>
              <w:t>We will not be required to make mandatory redemption or sinking fund payments on the</w:t>
            </w:r>
          </w:p>
        </w:tc>
      </w:tr>
      <w:tr>
        <w:trPr>
          <w:trHeight w:val="234"/>
        </w:trPr>
        <w:tc>
          <w:tcPr>
            <w:tcW w:w="3000" w:type="dxa"/>
            <w:vAlign w:val="bottom"/>
          </w:tcPr>
          <w:p>
            <w:pPr>
              <w:spacing w:after="0"/>
              <w:rPr>
                <w:sz w:val="20"/>
                <w:szCs w:val="20"/>
                <w:color w:val="auto"/>
              </w:rPr>
            </w:pPr>
          </w:p>
        </w:tc>
        <w:tc>
          <w:tcPr>
            <w:tcW w:w="5400" w:type="dxa"/>
            <w:vAlign w:val="bottom"/>
            <w:gridSpan w:val="12"/>
          </w:tcPr>
          <w:p>
            <w:pPr>
              <w:ind w:left="1040"/>
              <w:spacing w:after="0"/>
              <w:rPr>
                <w:sz w:val="20"/>
                <w:szCs w:val="20"/>
                <w:color w:val="auto"/>
              </w:rPr>
            </w:pPr>
            <w:r>
              <w:rPr>
                <w:rFonts w:ascii="Times New Roman" w:cs="Times New Roman" w:eastAsia="Times New Roman" w:hAnsi="Times New Roman"/>
                <w:sz w:val="18"/>
                <w:szCs w:val="18"/>
                <w:color w:val="auto"/>
              </w:rPr>
              <w:t>notes or to repurchase the notes at the option of the holders.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16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85"/>
              </w:rPr>
              <w:t>Prior to 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center"/>
              <w:ind w:right="46"/>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70"/>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82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w w:val="97"/>
              </w:rPr>
              <w:t>   (one month prior to maturity) in the case of the 2029 notes and</w:t>
            </w:r>
          </w:p>
        </w:tc>
      </w:tr>
      <w:tr>
        <w:trPr>
          <w:trHeight w:val="234"/>
        </w:trPr>
        <w:tc>
          <w:tcPr>
            <w:tcW w:w="3000" w:type="dxa"/>
            <w:vAlign w:val="bottom"/>
          </w:tcPr>
          <w:p>
            <w:pPr>
              <w:spacing w:after="0"/>
              <w:rPr>
                <w:sz w:val="20"/>
                <w:szCs w:val="20"/>
                <w:color w:val="auto"/>
              </w:rPr>
            </w:pPr>
          </w:p>
        </w:tc>
        <w:tc>
          <w:tcPr>
            <w:tcW w:w="16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86"/>
              </w:rPr>
              <w:t>prior to 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jc w:val="center"/>
              <w:ind w:right="66"/>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w w:val="70"/>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82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(three months prior to maturity) in the case of the 2036 notes</w:t>
            </w:r>
          </w:p>
        </w:tc>
      </w:tr>
    </w:tbl>
    <w:p>
      <w:pPr>
        <w:ind w:left="4340" w:right="220"/>
        <w:spacing w:after="0" w:line="253" w:lineRule="auto"/>
        <w:rPr>
          <w:sz w:val="20"/>
          <w:szCs w:val="20"/>
          <w:color w:val="auto"/>
        </w:rPr>
      </w:pPr>
      <w:r>
        <w:rPr>
          <w:rFonts w:ascii="Times New Roman" w:cs="Times New Roman" w:eastAsia="Times New Roman" w:hAnsi="Times New Roman"/>
          <w:sz w:val="18"/>
          <w:szCs w:val="18"/>
          <w:color w:val="auto"/>
        </w:rPr>
        <w:t>(each date, a “Par Call Date” with respect to the applicable series of notes), we may redeem the notes of the applicable series, in whole or in part, at any time and from time to time, at our option, at the “make-whole” redemption price described in this prospectus supplement under “</w:t>
      </w:r>
      <w:r>
        <w:rPr>
          <w:rFonts w:ascii="Times New Roman" w:cs="Times New Roman" w:eastAsia="Times New Roman" w:hAnsi="Times New Roman"/>
          <w:sz w:val="18"/>
          <w:szCs w:val="18"/>
          <w:i w:val="1"/>
          <w:iCs w:val="1"/>
          <w:color w:val="auto"/>
        </w:rPr>
        <w:t>Description of the Notes—Optional Redemption</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On or after the applicable Par Call Date with respect to a series of notes, we may redeem</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notes of such series, in whole or in part, at any time and from time to time, at a</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notes being redeemed plus</w:t>
            </w:r>
          </w:p>
        </w:tc>
      </w:tr>
      <w:tr>
        <w:trPr>
          <w:trHeight w:val="234"/>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accrued and unpaid interest to the redemption date.</w:t>
            </w:r>
          </w:p>
        </w:tc>
      </w:tr>
      <w:tr>
        <w:trPr>
          <w:trHeight w:val="441"/>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Subsidiary Guarantees</w:t>
            </w: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notes will be fully and unconditionally guaranteed, jointly and severally, on a senior</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unsecured basis by our subsidiaries that guarantee our revolving credit facility for so long</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as such subsidiaries guarantee our revolving credit facility. Any of our other subsidiaries</w:t>
            </w:r>
          </w:p>
        </w:tc>
      </w:tr>
      <w:tr>
        <w:trPr>
          <w:trHeight w:val="234"/>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that in the future guarantee our revolving credit facility may be</w:t>
            </w:r>
          </w:p>
        </w:tc>
      </w:tr>
      <w:tr>
        <w:trPr>
          <w:trHeight w:val="172"/>
        </w:trPr>
        <w:tc>
          <w:tcPr>
            <w:tcW w:w="300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r>
      <w:tr>
        <w:trPr>
          <w:trHeight w:val="361"/>
        </w:trPr>
        <w:tc>
          <w:tcPr>
            <w:tcW w:w="3000" w:type="dxa"/>
            <w:vAlign w:val="bottom"/>
          </w:tcPr>
          <w:p>
            <w:pPr>
              <w:spacing w:after="0"/>
              <w:rPr>
                <w:sz w:val="24"/>
                <w:szCs w:val="24"/>
                <w:color w:val="auto"/>
              </w:rPr>
            </w:pPr>
          </w:p>
        </w:tc>
        <w:tc>
          <w:tcPr>
            <w:tcW w:w="80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920" w:type="dxa"/>
            <w:vAlign w:val="bottom"/>
            <w:tcBorders>
              <w:top w:val="single" w:sz="8" w:color="auto"/>
              <w:left w:val="single" w:sz="8" w:color="auto"/>
            </w:tcBorders>
          </w:tcPr>
          <w:p>
            <w:pPr>
              <w:spacing w:after="0"/>
              <w:rPr>
                <w:sz w:val="24"/>
                <w:szCs w:val="24"/>
                <w:color w:val="auto"/>
              </w:rPr>
            </w:pPr>
          </w:p>
        </w:tc>
        <w:tc>
          <w:tcPr>
            <w:tcW w:w="810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required to guarantee the notes on the same basis, and the guarantees may be released or</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terminated under certain circumstances.</w:t>
            </w:r>
          </w:p>
        </w:tc>
      </w:tr>
      <w:tr>
        <w:trPr>
          <w:trHeight w:val="454"/>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in right of</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payment with our current and future unsecured senior debt, including debt under our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revolving credit facility and the Commercial Paper Program, and senior in right of payment</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to any future subordinated debt that we may incur.</w:t>
            </w:r>
          </w:p>
        </w:tc>
      </w:tr>
      <w:tr>
        <w:trPr>
          <w:trHeight w:val="441"/>
        </w:trPr>
        <w:tc>
          <w:tcPr>
            <w:tcW w:w="292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Each guarantee will rank equally in right of payment with all of such guarantor’s existing</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future unsecured senior debt and other unsecured guarantees of senior debt.</w:t>
            </w:r>
          </w:p>
        </w:tc>
      </w:tr>
      <w:tr>
        <w:trPr>
          <w:trHeight w:val="441"/>
        </w:trPr>
        <w:tc>
          <w:tcPr>
            <w:tcW w:w="292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notes and the guarantees will be effectively junior to any secured indebtedness of ours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or any guarantor to the extent of the value of the assets securing such indebtedness and</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structurally subordinated to all indebtedness and other obligations of our subsidiaries that</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do not guarantee the notes.</w:t>
            </w:r>
          </w:p>
        </w:tc>
      </w:tr>
      <w:tr>
        <w:trPr>
          <w:trHeight w:val="441"/>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We expect to receive net proceeds of approximately $            from this offering, after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deducting the underwriting discounts and estimated offering expenses. We expect to use a</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portion of the net proceeds from this offering to redeem the 6.875% 2029 notes and to use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remaining net proceeds for general corporate purposes, including to repay borrowings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under the Commercial Paper Program, to repay other indebtedness, to repurchase or</w:t>
            </w:r>
          </w:p>
        </w:tc>
      </w:tr>
      <w:tr>
        <w:trPr>
          <w:trHeight w:val="214"/>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redeem securities or to fund capital expenditures, additions to working capital or</w:t>
            </w:r>
          </w:p>
        </w:tc>
      </w:tr>
      <w:tr>
        <w:trPr>
          <w:trHeight w:val="236"/>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investments in our subsidiaries. For more information,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r>
      <w:tr>
        <w:trPr>
          <w:trHeight w:val="441"/>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 and Trading</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or included in any automated</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quotation system. Certain of the underwriters have advised us that they intend to make a</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market in the notes. The underwriters are not obligated, however, to make a market in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notes, and any such market may be discounted by the underwriters in their discretion at any</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time without notice.</w:t>
            </w:r>
          </w:p>
        </w:tc>
      </w:tr>
      <w:tr>
        <w:trPr>
          <w:trHeight w:val="459"/>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73"/>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notes and the indenture will be governed by the laws of the State of New York.</w:t>
            </w:r>
          </w:p>
        </w:tc>
      </w:tr>
      <w:tr>
        <w:trPr>
          <w:trHeight w:val="454"/>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 investment in the notes involves risks. Please read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S-5 of this prospectus supplement and on page 6 of the accompanying base prospectus for a</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discussion of factors you should carefully consider before investing in the notes.</w:t>
            </w:r>
          </w:p>
        </w:tc>
      </w:tr>
      <w:tr>
        <w:trPr>
          <w:trHeight w:val="441"/>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Certain of the underwriters and/or their respective affiliates may hold the 6.875% 2029</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notes, or are lenders under our revolving credit facility and/or are dealers under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Commercial Paper Program. Because certain of the underwriters and/or their affiliates are</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expected</w:t>
            </w:r>
          </w:p>
        </w:tc>
      </w:tr>
      <w:tr>
        <w:trPr>
          <w:trHeight w:val="172"/>
        </w:trPr>
        <w:tc>
          <w:tcPr>
            <w:tcW w:w="2920" w:type="dxa"/>
            <w:vAlign w:val="bottom"/>
            <w:tcBorders>
              <w:left w:val="single" w:sz="8" w:color="auto"/>
              <w:bottom w:val="single" w:sz="8" w:color="auto"/>
            </w:tcBorders>
          </w:tcPr>
          <w:p>
            <w:pPr>
              <w:spacing w:after="0"/>
              <w:rPr>
                <w:sz w:val="14"/>
                <w:szCs w:val="14"/>
                <w:color w:val="auto"/>
              </w:rPr>
            </w:pPr>
          </w:p>
        </w:tc>
        <w:tc>
          <w:tcPr>
            <w:tcW w:w="8100" w:type="dxa"/>
            <w:vAlign w:val="bottom"/>
            <w:tcBorders>
              <w:bottom w:val="single" w:sz="8" w:color="auto"/>
              <w:right w:val="single" w:sz="8" w:color="auto"/>
            </w:tcBorders>
          </w:tcPr>
          <w:p>
            <w:pPr>
              <w:spacing w:after="0"/>
              <w:rPr>
                <w:sz w:val="14"/>
                <w:szCs w:val="14"/>
                <w:color w:val="auto"/>
              </w:rPr>
            </w:pPr>
          </w:p>
        </w:tc>
      </w:tr>
      <w:tr>
        <w:trPr>
          <w:trHeight w:val="361"/>
        </w:trPr>
        <w:tc>
          <w:tcPr>
            <w:tcW w:w="2920" w:type="dxa"/>
            <w:vAlign w:val="bottom"/>
          </w:tcPr>
          <w:p>
            <w:pPr>
              <w:spacing w:after="0"/>
              <w:rPr>
                <w:sz w:val="24"/>
                <w:szCs w:val="24"/>
                <w:color w:val="auto"/>
              </w:rPr>
            </w:pPr>
          </w:p>
        </w:tc>
        <w:tc>
          <w:tcPr>
            <w:tcW w:w="81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203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1203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spacing w:after="0" w:line="255" w:lineRule="auto"/>
        <w:rPr>
          <w:sz w:val="20"/>
          <w:szCs w:val="20"/>
          <w:color w:val="auto"/>
        </w:rPr>
      </w:pPr>
      <w:r>
        <w:rPr>
          <w:rFonts w:ascii="Times New Roman" w:cs="Times New Roman" w:eastAsia="Times New Roman" w:hAnsi="Times New Roman"/>
          <w:sz w:val="18"/>
          <w:szCs w:val="18"/>
          <w:color w:val="auto"/>
        </w:rPr>
        <w:t>to receive at least 5% of the net proceeds of this offering, such underwriters and/or their affiliates could be deemed to have a “conflict of interest” under Rule 5121 of the Financial Industry Regulatory Authority, Inc. (“Rule 5121”).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See “</w:t>
      </w:r>
      <w:r>
        <w:rPr>
          <w:rFonts w:ascii="Times New Roman" w:cs="Times New Roman" w:eastAsia="Times New Roman" w:hAnsi="Times New Roman"/>
          <w:sz w:val="18"/>
          <w:szCs w:val="18"/>
          <w:i w:val="1"/>
          <w:iCs w:val="1"/>
          <w:color w:val="auto"/>
        </w:rPr>
        <w:t>Underwriting (Conflicts of Interest)</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60"/>
          </w:cols>
          <w:pgMar w:left="320" w:top="455" w:right="7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the notes involves risks. You should carefully consider all of the information contained in this prospectus supplement, the accompanying base prospectus and the documents incorporated by reference as provided under “Where You Can Find More Information,” including our most recent Annual Report on Form 10-K and any subsequently filed Quarterly Reports on Form 10-Q and the risk factors described under “Risk Factors” therein. This prospectus supplement, the accompanying base prospectus and the documents incorporated by reference also contain forward-looking statements that involve risks and uncertainties. Please read “Forward-Looking Statements.” Our actual results could differ materially from those anticipated in the forward-looking statements as a result of certain factors, including the risks described elsewhere in this prospectus supplement, in the accompanying base prospectus and in the documents incorporated by reference. If any of these risks occur, our business, financial condition or results of operation could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that may adversely affect our financial position and prevent us from fulfilling our obligations under the notes.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and following this offering will continue to have, a substantial amount of indebtedness. Our revolving credit facility, which matures in February 2030, provides for a revolving credit facility in an initial aggregate principal amount up to $3.5 billion (with an option to increase such maximum aggregate principal amount by up to $500.0 million in the future, subject to the terms of our revolving credit facility) and a swing line sub-facility of up to $150.0 million. Under the terms of the Commercial Paper Program, we may issue, from time to time, unsecured commercial paper notes with varying maturities of less than one year. Amounts available under the Commercial Paper Program may be issued, repaid and re-issued from time to time, with the maximum aggregate face or principal amount outstanding at any one time not to exceed $3.5 billion. We maintain a minimum available borrowing capacity under our revolving credit facility equal to the aggregate amount outstanding under the Commercial Paper Program as support for the program. As of September 30, 2025, on an “as adjusted” basis as described in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we would have had no borrowings outstanding and approximately $        of borrowing capacity under our revolving credit facility and $        of borrowings outstanding under the Commercial Paper Program.</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substantial level of indebtedness increases the possibility that we may be unable to generate cash sufficient to pay, when due, the principal of, interest on or other amounts due in respect of indebtedness. This substantial indebtedness, combined with lease and other financial obligations and contractual commitments, could have other important consequences to us, including the following:</w:t>
      </w:r>
    </w:p>
    <w:p>
      <w:pPr>
        <w:spacing w:after="0" w:line="81" w:lineRule="exact"/>
        <w:rPr>
          <w:sz w:val="20"/>
          <w:szCs w:val="20"/>
          <w:color w:val="auto"/>
        </w:rPr>
      </w:pPr>
    </w:p>
    <w:p>
      <w:pPr>
        <w:ind w:left="1080" w:right="3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if necessary, for working capital, capital expenditures, acquisitions or other purposes may be impaired or such financing may not be available on favorable terms;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satisfying our obligations with respect to indebtedness may be more difficult and any failure to comply with the obligations of any debt instruments could result in an event of default under the agreements governing such indebtedness;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 portion of cash flow to make interest payments on debt, reducing the funds that would otherwise be available for operations and future business opportunities;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influence how counterparties view our creditworthiness, which could limit our ability to enter into commercial transactions at favorable rates or require us to post additional collateral in commercial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will make us more vulnerable to competitive pressures or a downturn in our business or the economy generally;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limit flexibility in planning for, or responding to, changing business and economic conditions.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holding company structure in which our subsidiaries conduct our operations and own our operating assets.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have no significant assets other than the equity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applicable state limited liability company laws and other laws and regulations.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291" w:lineRule="exact"/>
        <w:rPr>
          <w:sz w:val="20"/>
          <w:szCs w:val="20"/>
          <w:color w:val="auto"/>
        </w:rPr>
      </w:pPr>
    </w:p>
    <w:p>
      <w:pPr>
        <w:ind w:left="120" w:right="5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Payment of principal and interest on the notes will be structurally subordinated to the liabilities of our current and any future non-guarantor subsidiaries and effectively subordinated to any of our secured indebtedness to the extent of the assets securing such indebtedness.</w:t>
      </w:r>
    </w:p>
    <w:p>
      <w:pPr>
        <w:spacing w:after="0" w:line="28"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Not all of our subsidiaries will guarantee the notes. Although certain of our existing subsidiaries, including all of our subsidiaries that guarantee our indebtedness under our revolving credit facility on the issue date, will initially guarantee the notes, in the future, under certain circumstances, the note guarantees are subject to release, and we may have other subsidiaries that are not guarantors. The notes will be structurally subordinated to the claims of all creditors, including trade creditors and tort claimants, of our non-guarantor subsidiaries. In the event of the liquidation, dissolution, reorganization, bankruptcy or similar proceeding of the business of a non-guarantor subsidiary, creditors of such subsidiary would generally have the right to be paid in full before any distribution is made to us or the holders of the notes. Accordingly, there may not be sufficient funds remaining to pay amounts due on all or any of the notes.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series of the notes and the guarantees thereof will be our and the guarantors’ general unsecured senior obligations, and effectively subordinated to any secured debt that we or the guarantors may have, to the extent of the value of the assets securing that debt. The indenture will permit us and the guarantors to incur secured debt provided certain conditions are met. If we are declared bankrupt or insolvent, or are liquidated, the holders of our secured debt will be entitled to be paid from our assets securing their debt before any payment may be made with respect to the notes. If any of the preceding events occur, we may not have sufficient assets to pay amounts due on our secured debt and the notes.</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and our subsidiaries’ current level of indebtedness, we may still be able to incur substantially more indebtedness. This could further exacerbate the risks associated with our substantial indebtedness.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Although the instruments governing our outstanding indebtedness contain restrictions that may limit our ability to incur additional indebtedness, these restrictions are subject to waiver and a significant number of qualifications and exceptions, and indebtedness incurred in compliance with these restrictions could be substantial. If we incur any additional indebtedness that ranks equally with the notes and the note guarantees, the holders of that indebtedness will be entitled to share ratably with the holders of the notes and the note guarantees in any proceeds distributed in connection with any insolvency, liquidation, reorganization, dissolution or other winding-up of us. This may have the effect of reducing the amount of proceeds paid to you. If new indebtedness is added to our current debt levels, the related risks that we and our subsidiaries now face could intensify.</w:t>
      </w:r>
    </w:p>
    <w:p>
      <w:pPr>
        <w:spacing w:after="0" w:line="293"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 guarantees could be deemed fraudulent conveyances under certain circumstances, and a court may try to subordinate or void the note guarantees.</w:t>
      </w:r>
    </w:p>
    <w:p>
      <w:pPr>
        <w:spacing w:after="0" w:line="5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Under the federal bankruptcy laws and comparable provisions of state fraudulent transfer laws, a note guarantee could be voided, or claims in respect of a note guarantee could be subordinated to all other debts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subsidiary guarantor if, among other things, the subsidiary guarantor, at the time it incurred the indebtedness evidenced by its note guarantee:</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less than reasonably equivalent value or fair consideration for the incurrence of such note guarantee;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by reason of such incurrence;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the subsidiary guarantor’s remaining assets constituted unreasonably small capital;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any payment by that subsidiary guarantor pursuant to its note guarantee could be voided and required to be returned to the subsidiary guarantor or to a fund for the benefit of the creditors of the subsidiary guarantor. The measures of insolvency for purposes of these fraudulent transfer laws will vary depending upon the law applied in any proceeding to determine whether a fraudulent transfer has occurred. Generally, however, a subsidiary guarantor would be considered insolvent if:</w:t>
      </w:r>
    </w:p>
    <w:p>
      <w:pPr>
        <w:spacing w:after="0" w:line="85"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fair saleable value of all of its assets;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liability, including contingent liabilities, on its existing debts, as they become absolute and mature;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become due.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ability to transfer the notes may be limited by the absence of a trading market.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series of the notes will be new securities for which currently there is no trading market. We do not currently intend to apply for listing of the notes on any securities exchange or stock market. Although certain of the underwriters have informed us that they currently intend to make a market in the notes, they are not obligated to do so. In addition, they may discontinue any such market making at any time without notice. The liquidity of any market for the notes will depend on the number of holders of those notes, the interest of securities dealers in making a market in those notes and other factors. Accordingly, we cannot assure you as to the development or liquidity of any market for the notes.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40"/>
          </w:cols>
          <w:pgMar w:left="320" w:top="455"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We expect to receive net proceeds of approximately $        from this offering, after deducting the underwriting discounts and estimated offering expenses. We expect to use a portion of the net proceeds from this offering to redeem the 6.875% 2029 notes and to use the remaining net proceeds for general corporate purposes, including to repay borrowings under the Commercial Paper Program, to repay other indebtedness, to repurchase or redeem securities or to fund capital expenditures, additions to working capital or investments in our subsidiaries.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6.875% 2029 notes mature on January 15, 2029 and bear interest at 6.875% per annum.</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2025, we had approximately $1.3 billion of outstanding borrowings under the Commercial Paper Program. The notes outstanding under the Commercial Paper Program have varying maturities of less than one year. Notes outstanding under the Commercial Paper Program bore interest at a weighted average rate of 4.7% during the nine months ended September 30, 2025. Borrowings under the Commercial Paper Program have been incurred for general corporate purposes.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2025, we had $600.0 million of qualifying receivables under the Partnership’s accounts receivable securitization facility (the “Securitization Facility”), resulting in no remaining availability. The maturity date of the Securitization Facility is August 31, 2026. The Securitization Facility bore interest at a weighted average rate of 5.2% during the nine months ended September 30, 2025. Borrowings under the Securitization Facility have been incurred for general corporate purposes.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Certain of the underwriters and/or their respective affiliates may hold the 6.875% 2029 notes, or are lenders under our revolving credit facility and/or are dealers under the Commercial Paper Program. Because certain of the underwriters and/or their affiliates are expected to receive at least 5% of the net proceeds of this offering, such underwriters and/or their affiliates could be deemed to have a “conflict of interest” under Rule 5121.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(Conflicts of Interest)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total capitalization as of September 30, 2025, on an:</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basis;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to give effect to the consummation of this offering and the application of the net proceeds therefrom in the manner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This table should be read together with our historical financial statements and the accompanying notes incorporated by reference into this prospectus supplement and the accompanying base prospectus.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580" w:type="dxa"/>
            <w:vAlign w:val="bottom"/>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3"/>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Targa senior revolving credit facility, variable rate (1)(4)</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1,295.0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unsecured notes issued by Targa</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5.200% fixed rate, due July 2027</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6.150% fixed rate, due March 2029</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4.900% fixed rate, due September 2030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4.200% fixed rate, due February 2033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6.125% fixed rate, due March 2033</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6.500% fixed rate, due March 2034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5.500% fixed rate, due February 2035</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5.550% fixed rate, due August 2035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5.650% fixed rate, due February 2036</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4.950% fixed rate, due April 2052</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6.250% fixed rate, due July 2052</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6.500% fixed rate, due February 2053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6.125% fixed rate, due May 2055</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700"/>
              <w:spacing w:after="0"/>
              <w:rPr>
                <w:sz w:val="20"/>
                <w:szCs w:val="20"/>
                <w:color w:val="auto"/>
              </w:rPr>
            </w:pPr>
            <w:r>
              <w:rPr>
                <w:rFonts w:ascii="Times New Roman" w:cs="Times New Roman" w:eastAsia="Times New Roman" w:hAnsi="Times New Roman"/>
                <w:sz w:val="13"/>
                <w:szCs w:val="13"/>
                <w:color w:val="auto"/>
                <w:w w:val="76"/>
              </w:rPr>
              <w:t> </w:t>
            </w:r>
          </w:p>
        </w:tc>
        <w:tc>
          <w:tcPr>
            <w:tcW w:w="5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fixed rate, due 2029</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76"/>
              </w:rPr>
              <w:t> </w:t>
            </w:r>
          </w:p>
        </w:tc>
        <w:tc>
          <w:tcPr>
            <w:tcW w:w="5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fixed rate, due 2036</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Unamortized discount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unsecured notes issued by the Partnership (2)</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5.000% fixed rate, due January 2028</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6.875% fixed rate, due January 2029 (3)</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5.500% fixed rate, due March 2030</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4.875% fixed rate, due February 2031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4.000% fixed rate, due January 2032</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Partnership accounts receivable securitization facility, due August 2026</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issuance costs, net of amortization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debt obligations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17,431.3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equity: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Targa stockholders’ equity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2,706.8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owners’ equity</w:t>
            </w:r>
          </w:p>
        </w:tc>
        <w:tc>
          <w:tcPr>
            <w:tcW w:w="1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2,833.8</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3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8"/>
              </w:rPr>
              <w:t>20,265.1</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920" w:type="dxa"/>
            <w:vAlign w:val="bottom"/>
            <w:vMerge w:val="restart"/>
          </w:tcPr>
          <w:p>
            <w:pPr>
              <w:ind w:left="4060"/>
              <w:spacing w:after="0"/>
              <w:rPr>
                <w:sz w:val="20"/>
                <w:szCs w:val="20"/>
                <w:color w:val="auto"/>
              </w:rPr>
            </w:pPr>
            <w:r>
              <w:rPr>
                <w:rFonts w:ascii="Times New Roman" w:cs="Times New Roman" w:eastAsia="Times New Roman" w:hAnsi="Times New Roman"/>
                <w:sz w:val="18"/>
                <w:szCs w:val="18"/>
                <w:color w:val="auto"/>
              </w:rPr>
              <w:t>S-10</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55"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line="253"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Commercial Paper Program are supported through maintaining a minimum available borrowing capacity under our revolving credit facility equal to the aggregate amount outstanding under the Commercial Paper Program, and we reflect such borrowings as amounts outstanding under our revolving credit facility in our Consolidated Financial Statements. As of September 30, 2025, the revolving credit facility had no borrowings outstanding and the Commercial Paper Program had approximately $1.3 billion of borrowings outstanding, resulting in approximately $2.2 billion of available liquidity, after accounting for outstanding letters of credit, and, as of October 31, 2025, the Commercial Paper Program had approximately $1.2 billion of borrowings outstanding.</w:t>
      </w:r>
    </w:p>
    <w:p>
      <w:pPr>
        <w:spacing w:after="0" w:line="5"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guarantee all of the Partnership’s outstanding senior unsecured notes. Our guarantor subsidiaries, including the Partnership, guarantee our revolving credit facility and Commercial Paper Program and existing senior notes, and will guarantee the notes offered hereby.</w:t>
      </w: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redeem the 6.875% 2029 notes on or after January 15, 2026 when they become callable at 101.146% of par.</w:t>
      </w:r>
    </w:p>
    <w:p>
      <w:pPr>
        <w:spacing w:after="0" w:line="9" w:lineRule="exact"/>
        <w:rPr>
          <w:rFonts w:ascii="Times New Roman" w:cs="Times New Roman" w:eastAsia="Times New Roman" w:hAnsi="Times New Roman"/>
          <w:sz w:val="18"/>
          <w:szCs w:val="18"/>
          <w:color w:val="auto"/>
        </w:rPr>
      </w:pPr>
    </w:p>
    <w:p>
      <w:pPr>
        <w:ind w:left="540" w:right="160" w:hanging="424"/>
        <w:spacing w:after="0" w:line="26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application of the proceeds from this offering as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we intend to use such proceeds to reduce other indebtedness, including under our Commercial Paper Program and the Partnership’s Securitization Facility.</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Targa will issue the 2029 notes and the 2036 notes as separate series of its debt securities described in the accompanying base prospectus. The notes will be issued under an indenture entered into on April 6, 2022, as supplemented by a supplemental indenture establishing the notes to be dated as of the closing of this offering (collectively, the “indenture”), among Targa, certain subsidiary guarantors, and U.S. Bank Trust Company, National Association, as trustee (the “trustee”). This description is a summary of the material provisions of the notes and the indenture. The summary of selected provisions of the notes and the indenture referred to below supplements, and to the extent inconsistent, supersedes and replaces, the description of the general terms and provisions of the debt securities and the indenture contained in the accompanying prospectus under the caption “</w:t>
      </w:r>
      <w:r>
        <w:rPr>
          <w:rFonts w:ascii="Times New Roman" w:cs="Times New Roman" w:eastAsia="Times New Roman" w:hAnsi="Times New Roman"/>
          <w:sz w:val="18"/>
          <w:szCs w:val="18"/>
          <w:i w:val="1"/>
          <w:iCs w:val="1"/>
          <w:color w:val="auto"/>
        </w:rPr>
        <w:t>Description of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This description does not restate those agreements and instruments in their entirety. You should refer to the notes and the indenture, forms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available as set forth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a complete description of our obligations and your rights.</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Defined terms used in this description, but not defined herein have the meanings assigned to them under the caption “</w:t>
      </w:r>
      <w:r>
        <w:rPr>
          <w:rFonts w:ascii="Times New Roman" w:cs="Times New Roman" w:eastAsia="Times New Roman" w:hAnsi="Times New Roman"/>
          <w:sz w:val="18"/>
          <w:szCs w:val="18"/>
          <w:i w:val="1"/>
          <w:iCs w:val="1"/>
          <w:color w:val="auto"/>
        </w:rPr>
        <w:t>Description of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Securities—Glossary</w:t>
      </w:r>
      <w:r>
        <w:rPr>
          <w:rFonts w:ascii="Times New Roman" w:cs="Times New Roman" w:eastAsia="Times New Roman" w:hAnsi="Times New Roman"/>
          <w:sz w:val="18"/>
          <w:szCs w:val="18"/>
          <w:color w:val="auto"/>
        </w:rPr>
        <w:t>” in the accompanying base prospectus. In this description, the terms “Targa,” “we,” “us” and “our” refer only to Targa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 and not to any of its subsidiaries. The registered holder of a note (each, a “holder”) will be treated as the owner of it for all purposes. Only registered holders will have rights under the indenture.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right="3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general unsecured, senior obligations of Targa, ranking equally with all other existing and future unsecured and unsubordinated indebtedness of Targa;</w:t>
      </w:r>
    </w:p>
    <w:p>
      <w:pPr>
        <w:sectPr>
          <w:pgSz w:w="11900" w:h="16838" w:orient="portrait"/>
          <w:cols w:equalWidth="0" w:num="1">
            <w:col w:w="11100"/>
          </w:cols>
          <w:pgMar w:left="320" w:top="455" w:right="479" w:bottom="1440" w:gutter="0" w:footer="0" w:header="0"/>
        </w:sectPr>
      </w:pP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will initially be issued in an aggregate principal amount of $        with respect to the 2029 notes and an aggregate principal amount of $        with respect to the 2036 notes;</w:t>
      </w:r>
    </w:p>
    <w:p>
      <w:pPr>
        <w:spacing w:after="0" w:line="67" w:lineRule="exact"/>
        <w:rPr>
          <w:sz w:val="20"/>
          <w:szCs w:val="20"/>
          <w:color w:val="auto"/>
        </w:rPr>
      </w:pPr>
    </w:p>
    <w:p>
      <w:pPr>
        <w:sectPr>
          <w:pgSz w:w="11900" w:h="16838" w:orient="portrait"/>
          <w:cols w:equalWidth="0" w:num="2">
            <w:col w:w="720" w:space="360"/>
            <w:col w:w="10020"/>
          </w:cols>
          <w:pgMar w:left="320" w:top="455" w:right="4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will mature on            , 2029 with respect to the 2029 notes and on            , 2036 with respect to the 2036 notes;</w:t>
      </w:r>
    </w:p>
    <w:p>
      <w:pPr>
        <w:spacing w:after="0" w:line="131" w:lineRule="exact"/>
        <w:rPr>
          <w:sz w:val="20"/>
          <w:szCs w:val="20"/>
          <w:color w:val="auto"/>
        </w:rPr>
      </w:pPr>
    </w:p>
    <w:p>
      <w:pPr>
        <w:sectPr>
          <w:pgSz w:w="11900" w:h="16838" w:orient="portrait"/>
          <w:cols w:equalWidth="0" w:num="2">
            <w:col w:w="720" w:space="360"/>
            <w:col w:w="10020"/>
          </w:cols>
          <w:pgMar w:left="320" w:top="455" w:right="479" w:bottom="1440" w:gutter="0" w:footer="0" w:header="0"/>
          <w:type w:val="continuous"/>
        </w:sect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$2,000 and integral multiples of $1,000 in excess thereof;</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bear interest at an annual rate of        % with respect to the 2029 notes and an annual rate of        % with respect to the 2036 notes;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redeemable at any time at our option at the redemption prices described below under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2029 notes and the 2036 notes each constitute a separate series of debt securities under the indenture. The indenture does not limit the amount of debt securities we may issue under the indenture from time to time in one or more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2029 notes will be issued as a series of debt securities under the indenture in an initial aggregate principal amount of $        and will mature on        , 2029. The 2036 notes will be issued as a series of debt securities under the indenture in an initial aggregate principal amount of $        and will mature on        , 2036.</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Interest on each series of notes will accrue from and including        , 2025 or from and including the most recent interest payment date to which interest has been paid or provided for.</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pay interest on the 2029 notes semi-annually on        and        of each year, beginning on        , 2026 (the “2029 interest payment dates”). We will pay interest on the 2036 notes semi-annually on        and        of each year, beginning on        , 2026 (the “2036 interest payment dates”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together with the 2029 interest payment dates, the “interest payment dates”). We will make interest payments on the notes to the persons in whose names the notes are registered at the close of business on        or        , as applicable, with respect to the 2029 notes, and on        and        , as applicable, with respect to the 2036 notes, in each case, before the next interest payment date with respect to such notes.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Interest will be computed on the basis of a 360-day year consisting of twelve 30-day months. If any payment date with respect to the notes falls on a day that is not a business day, the payment will be made on the next business day, and no interest will accrue on the amount of interest due on that payment date for the period from and after the interest payment date, maturity date, or redemption date to the date of payment. Under the indenture, a business day is a day that is not a Saturday, a Sunday or a day on which banking institutions in the City of New York, New York or a place of payment are authorized or obligated by law, regulation or executive order to remain closed.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the notes, issue additional notes having the same terms as either series of notes offered by this prospectus supplement, except for the issue date, issue price, and in some cases, the first interest payment date. Additional notes issued in this manner will form a single series with the previously issued and outstanding notes of such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,            (one month prior to maturity), in the case of the 2029 notes (the “2029 Par Call Date”), and prior</w:t>
      </w:r>
    </w:p>
    <w:p>
      <w:pPr>
        <w:spacing w:after="0" w:line="2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to        ,        (three months prior to maturity), in the case of the 2036 notes (the “2036 Par Call Date” and, together with the 2029 Par Call Date, each a “Par Call Date”), we may redeem the applicable notes at our option, in whole or in part, at any time and from time to time, at a redemption price equal to the greater of:</w:t>
      </w:r>
    </w:p>
    <w:p>
      <w:pPr>
        <w:spacing w:after="0" w:line="91" w:lineRule="exact"/>
        <w:rPr>
          <w:sz w:val="20"/>
          <w:szCs w:val="20"/>
          <w:color w:val="auto"/>
        </w:rPr>
      </w:pPr>
    </w:p>
    <w:p>
      <w:pPr>
        <w:ind w:left="1080" w:right="140" w:hanging="532"/>
        <w:spacing w:after="0" w:line="276"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such notes matured on the applicable Par Call Date) on a semi-annual basis (assuming a 360-day year consisting of twelve</w:t>
      </w:r>
    </w:p>
    <w:p>
      <w:pPr>
        <w:ind w:left="1080"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30-day months) at the Treasury Rate (as defined below) plus (i)        basis points, in the case of the 2029 notes, or (ii)        basis points, in the case of the 2036 notes, less</w:t>
      </w:r>
    </w:p>
    <w:p>
      <w:pPr>
        <w:spacing w:after="0" w:line="73" w:lineRule="exact"/>
        <w:rPr>
          <w:rFonts w:ascii="Times New Roman" w:cs="Times New Roman" w:eastAsia="Times New Roman" w:hAnsi="Times New Roman"/>
          <w:sz w:val="17"/>
          <w:szCs w:val="17"/>
          <w:color w:val="auto"/>
        </w:rPr>
      </w:pPr>
    </w:p>
    <w:p>
      <w:pPr>
        <w:ind w:left="1240" w:hanging="261"/>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accrued to the date of redemption;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applicable notes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with respect to a series of notes, we may redeem the notes of such series, in whole or in part, at any time and from time to time, at a redemption price equal to 100% of the principal amount of the notes being redeemed plus accrued and unpaid interest thereon to the redemption date.</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22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maturities—Nominal” (or any successor caption or heading) (“H.15 TCM”). In determining the Treasury Rate, we shall select, as applicable: (1) the yield for the Treasury constant maturity on H.15 exactly equal to the period from the redemption date to the applicable Par Call Date with respect to the notes to be redeemed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Notes called for redemption will become due on the date fixed for redemption, subject to satisfaction of any conditions to such redemption. Notices of redemption will be sent at least 10 days but not more than 60 days before the redemption date to each holder of the notes to be redeemed. The notice of redemption for the notes to be redeemed will state, among other things, the amount of such notes to be redeemed, if less than all of the outstanding notes of such series are to be redeemed, the redemption date, the redemption price (or the method of calculating it) and each place that payment will be made upon presentation and surrender of the notes to be redeemed. Any such redemption may, at our discretion, be conditioned on the satisfaction or waiver of one or more conditions, including a sale of securities or other financing, in each case as specified in the notice to the trustee. A notice of conditional redemption will be of no effect unless all conditions to the redemption have occurred on or before the redemption date or have been waived by us on or before the redemption date. We will provide notice of any waiver of a condition or failure to meet such conditions no later than the redemption date.</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Unless we default in payment of the redemption price, interest will cease to accrue on any notes that have been called for redemption on the redemption date. If less than all the notes of a series are redeemed at any time, the trustee will select the notes of such series (or any portion of notes in integral multiples of $1,000) to be redeemed on a pro rata basis or by any other method the trustee deems fair and appropriate, but beneficial interests in notes in global form will be selected for redemption in accordance with DTC’s customary practices.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 shall have no responsibility for calculating the redemption price.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Subsidiary Guarantees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notes initially will be guaranteed by each of our subsidiaries that guarantees the Credit Agreement on the terms provided for in the base indenture attached to the accompanying base prospectus. None of our other subsidiaries will guarantee the notes upon their issuance; however, if at any time following the issuance of the notes, any subsidiary that is not already a guarantor of the notes guarantees any of our indebtedness under the Credit Agreement, then we will cause such subsidiary to execute and deliver to the trustee a supplemental indenture within 60 days after it guarantees such indebtedness under the Credit Agreement, pursuant to which such subsidiary will become a guarantor of the notes. The subsidiary guarantees will be joint and several obligations of the subsidiary guarantors. The obligations of each subsidiary guarantor under its subsidiary guarantee will be limited as necessary to prevent that subsidiary guarantee from constituting a fraudulent conveyance under applicable law.</w:t>
      </w:r>
    </w:p>
    <w:p>
      <w:pPr>
        <w:spacing w:after="0" w:line="187"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The subsidiary guarantees may be released under certain circumstances which are described under the caption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Subsidiary Guarantees</w:t>
      </w:r>
      <w:r>
        <w:rPr>
          <w:rFonts w:ascii="Times New Roman" w:cs="Times New Roman" w:eastAsia="Times New Roman" w:hAnsi="Times New Roman"/>
          <w:sz w:val="18"/>
          <w:szCs w:val="18"/>
          <w:color w:val="auto"/>
        </w:rPr>
        <w:t>” in the accompanying base 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notes will be unsecured and unsubordinated obligations of Targa and will rank equally with all other existing and future unsubordinated indebtedness of Targa. The guarantee of the notes by any of our subsidiaries will be an unsecured and unsubordinated obligation of such subsidiary and will rank equally with all other existing and future unsecured and unsubordinated indebtedness of such subsidiary. The notes and each guarantee, if any, will effectively rank junior to any future indebtedness of Targa and any subsidiary that guarantees the notes that is both secured and unsubordinated to the extent of the value of the assets securing such indebtedness, and the notes will structurally rank junior to all indebtedness and other liabilities of Targa’s existing and future subsidiaries that do not guarantee the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not required to make any mandatory redemption or sinking fund payments with respect to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9"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The notes will have the benefit of the covenants set forth under “</w:t>
      </w:r>
      <w:r>
        <w:rPr>
          <w:rFonts w:ascii="Times New Roman" w:cs="Times New Roman" w:eastAsia="Times New Roman" w:hAnsi="Times New Roman"/>
          <w:sz w:val="18"/>
          <w:szCs w:val="18"/>
          <w:i w:val="1"/>
          <w:iCs w:val="1"/>
          <w:color w:val="auto"/>
        </w:rPr>
        <w:t>Description of Debt Securities—Certain Covenants</w:t>
      </w:r>
      <w:r>
        <w:rPr>
          <w:rFonts w:ascii="Times New Roman" w:cs="Times New Roman" w:eastAsia="Times New Roman" w:hAnsi="Times New Roman"/>
          <w:sz w:val="18"/>
          <w:szCs w:val="18"/>
          <w:color w:val="auto"/>
        </w:rPr>
        <w:t>” in the accompanying base 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obtained the information in this section concerning The Depository Trust Company (“DTC”) and its book-entry systems and procedures from DTC, but we take no responsibility for the accuracy of this information. In addition, the description in this section reflects our understanding of the rules and procedures of DTC as they are currently in effect. DTC could change its rules and procedures at any time. Each series of the notes will initially be represented by one or more fully registered global notes. Each such global note will be deposited with, or on behalf of, DTC or any successor thereto and registered in the name of Cede &amp; Co. (DTC’s nominee). You may hold your interests in the global notes through DTC either as a participant in DTC or indirectly through organizations that are participants in DTC.</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So long as DTC or its nominee is the registered owner of the global securities representing the notes, DTC or such nominee will be considered the sole owner and holder of the notes for all purposes of the notes and the indenture. 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Accordingly, each person owning a beneficial interest in a note must rely on the procedures of DTC or its nominee and, if such person is not a participant, on the procedures of the participant through which such person owns its interest, in order to exercise any rights of a holder of notes.</w:t>
      </w:r>
    </w:p>
    <w:p>
      <w:pPr>
        <w:spacing w:after="0" w:line="160"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Depository Trust Company</w:t>
      </w:r>
      <w:r>
        <w:rPr>
          <w:rFonts w:ascii="Times New Roman" w:cs="Times New Roman" w:eastAsia="Times New Roman" w:hAnsi="Times New Roman"/>
          <w:sz w:val="18"/>
          <w:szCs w:val="18"/>
          <w:color w:val="auto"/>
        </w:rPr>
        <w:t>. DTC will act as securities depositary for the notes. The notes will be issued as fully registered notes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name of Cede &amp; Co. DTC has advised us as follows: DTC is</w:t>
      </w:r>
    </w:p>
    <w:p>
      <w:pPr>
        <w:spacing w:after="0" w:line="66"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under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the provisions of Section 17A of the Securities Exchange Act of 1934.</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DTC holds securities that its direct participants deposit with DTC. DTC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Direct participants of DTC include securities brokers and dealers (including the underwriters), banks, trust companies, clearing corporations, and certain other organizations. DTC is owned by a number of its direct participants. Access to the DTC system is also available to securities brokers and dealers, banks and trust companies that clear through or maintain a custodial relationship with a direct participant, either directly or indirectly.</w:t>
      </w:r>
    </w:p>
    <w:p>
      <w:pPr>
        <w:spacing w:after="0" w:line="176"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you are not a direct participant or an indirect participant and you wish to purchase, sell or otherwise transfer ownership of, or other interests in, notes, you must do so through a direct participant or an indirect participant. DTC agrees with and represents to DTC participants that it will administer its book-entry system in accordance with its rules and by-laws and requirements of law. The SEC has on file a set of the rules applicable to DTC and its direct participants.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Purchases of notes under DTC’s system must be made by or through direct participants, who will receive a credit for the notes on DTC’s records. The ownership interest of each beneficial owner is in turn to be recorded on the records of direct participants and indirect participants. Beneficial owners will not receive written 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notes are to be accomplished by entries made on the books of participants acting on behalf of beneficial owners. Beneficial owners will not receive certificates representing their ownership interests in the notes, except in the event that use of the book-entry system for the notes is discontinued.</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participants with DTC are registered in the name of DTC’s nominee, Cede &amp; Co., or such other name as may be requested by an authorized representative of DTC. The deposit of notes with DTC and their registration in the name of Cede &amp; Co. do not effect any change in beneficial ownership. DTC has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3"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Euroclear and Clearstream</w:t>
      </w:r>
      <w:r>
        <w:rPr>
          <w:rFonts w:ascii="Times New Roman" w:cs="Times New Roman" w:eastAsia="Times New Roman" w:hAnsi="Times New Roman"/>
          <w:sz w:val="18"/>
          <w:szCs w:val="18"/>
          <w:color w:val="auto"/>
        </w:rPr>
        <w:t>. If the depositary for a global debt security is DTC, you may hold interests in the global debt security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Clearstream Banking, société anonyme, which we refer to as “Clearstream,” or Euroclear Bank SA/NV, as operator of the Euroclear System, which we refer to as “Euroclear,”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 Payments, deliveries, transfers, exchanges, notices and other matters relating to the notes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one hand, and other participants in DTC, on the other hand, would also be subject to DTC’s rules and procedures. 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 We have obtained the foregoing information concerning Euroclear and Clearstream from sources we believe to be reliable, but we take no responsibility for the accuracy of this information.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Book-Entry Format</w:t>
      </w:r>
      <w:r>
        <w:rPr>
          <w:rFonts w:ascii="Times New Roman" w:cs="Times New Roman" w:eastAsia="Times New Roman" w:hAnsi="Times New Roman"/>
          <w:sz w:val="18"/>
          <w:szCs w:val="18"/>
          <w:color w:val="auto"/>
        </w:rPr>
        <w:t>. Under the book-entry format, the trustee will pay interest or principal payments to Cede &amp; Co., as nominee of DTC. DTC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forward the payment to the direct participants, who will then forward the payment to the indirect participants or to you as the beneficial owner. You may experience some delay in receiving your payments under this system. Neither we, the trustee under the indenture nor any paying agent has any direct responsibility or liability for the payment of principal or interest on the notes to owners of beneficial interests in the notes.</w:t>
      </w:r>
    </w:p>
    <w:p>
      <w:pPr>
        <w:spacing w:after="0" w:line="18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DTC is required to make book-entry transfers on behalf of its direct participants and is required to receive and transmit payments of principal, premium, if any, and interest on the notes. Any direct participant or indirect participant with which you have an account is similarly required to make book-entry transfers and to receive and transmit payments with respect to the notes on your behalf. We, the underwriters and the trustee under the indenture have no responsibility for any aspect of the actions of DTC or any of its direct or indirect participants. We, the underwriters and the trustee under the indenture have no responsibility or liability for any aspect of the records kept by DTC or any of its direct or indirect participants relating to, or payments made on account of, beneficial ownership interests in the notes or for maintaining, supervising or reviewing any records relating to such beneficial ownership interests. We also do not supervise these systems in any way.</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trustee will not recognize you as a holder under the indenture, and you can only exercise the rights of a holder indirectly through DTC and its direct participants. DTC has advised us that it will only take action regarding a note if one or more of the direct participants to whom the note is credited directs DTC to take such action and only in respect of the portion of the aggregate principal amount of the notes as to which that participant or participants has or have given that direction. DTC can only act on behalf of its direct participants. Your ability to pledge notes to non-direct participants, and to take other actions, may be limited because you will not possess a physical certificate that represents your notes.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Neither DTC nor Cede &amp; Co. (nor such other DTC nominee) will consent or vote with respect to the notes unless authorized by a direct participant in accordance with DTC’s procedures. Under its usual procedures, DTC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will mail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DTC has agreed to the foregoing procedures in order to facilitate transfers of the notes among its participants. However, DTC is under no obligation to perform or continue to perform those procedures, and may discontinue those procedures at any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However, if it acquires any conflicting interest within the meaning of the Trust Indenture Act after a default has occurred and is continuing, it must eliminate the conflict within 90 days, apply to the SEC for permission to continue as trustee or resign.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not cured or waived, the trustee is required to exercise such of the rights and powers vested in it by the indenture and use the same degree of care and skill in their exercise as a prudent man would exercise or use under the circumstances in the conduct of his own affairs. Subject to such provisions, the trustee will not be under any obligation to exercise any of its rights or powers under the indenture at the request of any of the holders of notes unless they have offered to the trustee reasonable security or indemnity against the costs, expenses and liabilities it may incur.</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U.S. Bank Trust Company, National Association will be the trustee under the indenture and has been appointed by Targa as registrar and paying agent with regard to the notes. The trustee’s address is 13737 Noel Rd, Suite 800, Dallas, Texas 75240. The trustee and its affiliates maintain commercial banking and other relationships with Targa.</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consequences that may be relevant to the acquisition, ownership and disposition of the notes. This discussion is based upon the provisions of the Internal Revenue Code of 1986, as amended (the “Code”), applicable U.S. Treasury regulations promulgated thereunder, judicial authority and administrative interpretations, all as of the date of this prospectus supplement, and all of which are subject to change, possibly with retroactive effect, or are subject to differing interpretations. We cannot assure you that the Internal Revenue Service (the “IRS”) will not challenge one or more of the U.S. federal income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limited to holders (as defined below) who purchase the notes in this offering for cash at a price equal to the issue price of the applicable series of notes (i.e., the first price at which a substantial amount of such series of the notes is sold for cash to investors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non-U.S., state, local or other jurisdiction or any income tax treaty. In addition, this discussion does not address all tax consequences that may be important to a particular holder in light of such holder’s circumstances, or to certain categories of investors that may be subject to special rules, such as:</w:t>
      </w:r>
    </w:p>
    <w:p>
      <w:pPr>
        <w:spacing w:after="0" w:line="9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have elected the mark-to-market method of accounting for their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 hold the notes through non-U.S. brokers or other non-U.S. intermediaries;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notes as part of a hedge, straddle, conversion or other “synthetic security” or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are tax-exempt for U.S. federal income tax purposes;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notes through individual retirement accounts and other tax-deferred accounts;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the notes as a result of such income being recognized on an “applicable financial statement” (within the meaning of Section 451(b) of the Code);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entities treated as pass-through entities for U.S. federal income tax purposes (including S corporations) and holders of interests therein;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purchase the notes in this offering and own the 6.875% 2029 notes, indebtedness under the Commercial Paper Program or other indebtedness which is repaid with proceeds from this offering;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notes under the constructive sale provisions of the Code.</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the notes, the U.S. federal income tax treatment of a partner of the partnership generally will depend upon the status of the partner and the activities of the partnership and upon certain determinations made at the partner level. Partnerships (or any entity or arrangement treated as a partnership for U.S. federal income tax purposes) considering an investment in the notes and the partners thereof should consult their own tax advisors as to the particular U.S. federal income tax consequences of acquiring, owning and disposing of the notes.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“holder” means a U.S. holder or a non-U.S. holder (as defined below), as applicable.</w:t>
      </w:r>
    </w:p>
    <w:p>
      <w:pPr>
        <w:spacing w:after="0" w:line="2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NON-U.S. OR OTHER TAXING JURISDICTION OR UNDER ANY APPLICABLE INCOME TAX TREATY.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Additional Payments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certain circumstances (see “</w:t>
      </w:r>
      <w:r>
        <w:rPr>
          <w:rFonts w:ascii="Times New Roman" w:cs="Times New Roman" w:eastAsia="Times New Roman" w:hAnsi="Times New Roman"/>
          <w:sz w:val="18"/>
          <w:szCs w:val="18"/>
          <w:i w:val="1"/>
          <w:iCs w:val="1"/>
          <w:color w:val="auto"/>
        </w:rPr>
        <w:t>Description of the Notes—Optional Redemption</w:t>
      </w:r>
      <w:r>
        <w:rPr>
          <w:rFonts w:ascii="Times New Roman" w:cs="Times New Roman" w:eastAsia="Times New Roman" w:hAnsi="Times New Roman"/>
          <w:sz w:val="18"/>
          <w:szCs w:val="18"/>
          <w:color w:val="auto"/>
        </w:rPr>
        <w:t>”), we may elect to redeem the notes prior to maturity or to pay amounts on the notes that are in excess of the stated interest or principal on the notes. If any of those contingencies were to occur, it would affect the amount and timing of income recognized by you. Further, those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may take a different position, in which case, if the IRS’s position is sustained, you might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summary will apply to you if you are a U.S. holder of a note. You are a “U.S. holder” for purposes of this discussion if you are a beneficial owner of a note and you are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U.S. resident;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that has one or more “United States persons” (within the meaning of Section 7701(a)(30) of the Code) that have the authority to control all substantial decisions of the trust, or (ii) that has made a valid election under applicable U.S. Treasury regulations to be treated as a United States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Stated Interest on the Notes</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Stated interest on the notes generally will be taxable to you as ordinary income at the time it is received or accrued in accordance with your regular method of accounting for U.S. federal income tax purposes.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Disposition of the Notes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You generally will recognize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realized on a sale, redemption, exchange, retirement or other taxable disposition of a note is attributable to accrued but unpaid interest on the note, this amount generally will not be included in the “amount realized” but will instead be treated in the same manner as described above in “—Tax Consequences to U.S. Holders </w:t>
      </w:r>
      <w:r>
        <w:rPr>
          <w:rFonts w:ascii="Times New Roman" w:cs="Times New Roman" w:eastAsia="Times New Roman" w:hAnsi="Times New Roman"/>
          <w:sz w:val="18"/>
          <w:szCs w:val="18"/>
          <w:i w:val="1"/>
          <w:iCs w:val="1"/>
          <w:color w:val="auto"/>
        </w:rPr>
        <w:t>—Stated Interest on the Notes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Your adjusted tax basis in the note will generally equal the amount you paid for the note. Any gain or loss will be capital gain or loss and will be long-term capital gain or loss if you held the note for more than one year at the time of the sale, redemption, exchange, retirement or other taxable disposition. Otherwise, such gain or loss will be short-term capital gain or loss. Long-term capital gains of individuals, estates and trusts currently are eligible for reduced rates of U.S. federal income tax. The deductibility of capital losses may be subject to limitation.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Information reporting generally will apply to payments of interest on, and the proceeds of the sale or other taxable disposition (including a redemption, exchange or retirement) of, the notes held by you, and backup withholding generally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Tax on Net Investment Income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the notes, less certain deductions. You should consult your own tax advisor with respect to this additional tax and its applicability in your particular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following summary will apply to you if you are a non-U.S. holder of a note. You are a “non-U.S. holder” for purposes of this discussion if you are a beneficial owner of a note that is, for U.S. federal income tax purposes, an individual, corporation, estate or trust that is not a U.S. holder.</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on the Notes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of backup withholding and FATCA (as defined below) withholding, payments to you of interest on the notes generally will not be subject to U.S. federal income tax and will be exempt from withholding of U.S. federal income tax under the “portfolio interest” exemption if you properly certify as to your non-U.S. status, as described below, and:</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the total combined voting power of all classes of our stock entitled to vote;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us (actually or constructively);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in connection with an extension of credit made pursuant to a loan agreement entered into in the ordinary course of your trade or business;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notes is not effectively connected with your conduct of a U.S. trade or business.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portfolio interest exemption generally applies only if you certify as to your non-U.S. status prior to payment. You can generally meet this certification requirement by providing a properly executed IRS Form W-8BEN or IRS Form W-8BEN-E (or other applicable form or successor form) to the applicable withholding agent. If you hold the notes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non-U.S. partnerships, estates and trusts, and in certain circumstances certifications as to the non-U.S. status of partners, trust owners or beneficiaries may have to be provided to the applicable withholding agent. In addition, special rules apply to qualified intermediaries that enter into withholding agreements with the IRS.</w:t>
      </w:r>
    </w:p>
    <w:p>
      <w:pPr>
        <w:spacing w:after="0" w:line="189"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form or successor form), as applicable, claiming an exemption from (or a reduction of) withholding under the benefits of an applicable income tax treaty, or (ii) the payments of such interest are effectively connected with your conduct of a U.S. trade or business and you meet the certification requirements described below. See “—Tax Consequences to Non-U.S. Holders</w:t>
      </w:r>
      <w:r>
        <w:rPr>
          <w:rFonts w:ascii="Times New Roman" w:cs="Times New Roman" w:eastAsia="Times New Roman" w:hAnsi="Times New Roman"/>
          <w:sz w:val="17"/>
          <w:szCs w:val="17"/>
          <w:i w:val="1"/>
          <w:iCs w:val="1"/>
          <w:color w:val="auto"/>
        </w:rPr>
        <w:t>—Income or Gain Effectively Connected with a U.S. Trade or Business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from (or a reduced rate of) withholding under an applicable income tax treaty, you may obtain a refund of any excess amounts withheld if you timely provide the required information or appropriate claim form to the IRS.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Disposition of the Notes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of backup withholding, you generally will not be subject to U.S. federal income tax on any gain recognized on the sale, redemption, exchange, retirement or other taxable disposition of a note unless:</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disposition and certain other requirements are met.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your gain is described in the first bullet point above, you generally will be subject to U.S. federal income tax in the manner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Tax Consequences to Non-U.S. Holders</w:t>
      </w:r>
      <w:r>
        <w:rPr>
          <w:rFonts w:ascii="Times New Roman" w:cs="Times New Roman" w:eastAsia="Times New Roman" w:hAnsi="Times New Roman"/>
          <w:sz w:val="18"/>
          <w:szCs w:val="18"/>
          <w:i w:val="1"/>
          <w:iCs w:val="1"/>
          <w:color w:val="auto"/>
        </w:rPr>
        <w:t>—Income or Gain Effectively Connected with a U.S. Trade or Business</w:t>
      </w:r>
      <w:r>
        <w:rPr>
          <w:rFonts w:ascii="Times New Roman" w:cs="Times New Roman" w:eastAsia="Times New Roman" w:hAnsi="Times New Roman"/>
          <w:sz w:val="18"/>
          <w:szCs w:val="18"/>
          <w:color w:val="auto"/>
        </w:rPr>
        <w:t>.” If you are a non-U.S. holder described in the second bullet point above, you will be subject to a U.S. federal income tax at a 30% rate (or a lower applicable income tax treaty rate) on the gain derived from the sale or other taxable disposition of a note, which gain may be offset by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certain U.S. source capital losses. To the extent that any portion of the amount recognized on a sale, redemption, exchange, retirement or other taxable disposition of a note is attributable to accrued but unpaid interest on the note, this amount generally will be treated in the same manner as described above in “—Tax Consequences to Non-U.S. Holders—</w:t>
      </w:r>
      <w:r>
        <w:rPr>
          <w:rFonts w:ascii="Times New Roman" w:cs="Times New Roman" w:eastAsia="Times New Roman" w:hAnsi="Times New Roman"/>
          <w:sz w:val="18"/>
          <w:szCs w:val="18"/>
          <w:i w:val="1"/>
          <w:iCs w:val="1"/>
          <w:color w:val="auto"/>
        </w:rPr>
        <w:t>Interest on the Notes</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or Gain Effectively Connected with a U.S. Trade or Business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any interest on the notes or gain from the sale, redemption, exchange, retirement or other taxable disposition of the notes is effectively connected with your conduct of a U.S. trade or business, then the interest income or gain will be subject to U.S. federal income tax at regular U.S. federal income tax rates generally in the same manner as if you were a U.S. holder, unless an applicable income tax treaty provides otherwise. Effectively connected interest income that is subject to U.S. federal income tax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subject to adjustments, may also be subject to a “branch profits tax” at a 30% rate, unless an applicable income tax treaty provides for a lower rate. For this purpose, interest received on a note and gain recognized on the disposition of a note will be included in effectively connected earnings and profits if the interest or gain is effectively connected with your conduct of a U.S. trade or business.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an applicable specific treaty or agreement.</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generally will not apply to payments to you of interest on a note if the certification described in “—Tax Consequences to Non-U.S. Holders</w:t>
      </w:r>
      <w:r>
        <w:rPr>
          <w:rFonts w:ascii="Times New Roman" w:cs="Times New Roman" w:eastAsia="Times New Roman" w:hAnsi="Times New Roman"/>
          <w:sz w:val="18"/>
          <w:szCs w:val="18"/>
          <w:i w:val="1"/>
          <w:iCs w:val="1"/>
          <w:color w:val="auto"/>
        </w:rPr>
        <w:t>—Interest on the Notes</w:t>
      </w:r>
      <w:r>
        <w:rPr>
          <w:rFonts w:ascii="Times New Roman" w:cs="Times New Roman" w:eastAsia="Times New Roman" w:hAnsi="Times New Roman"/>
          <w:sz w:val="18"/>
          <w:szCs w:val="18"/>
          <w:color w:val="auto"/>
        </w:rPr>
        <w:t>” is duly provided or you otherwise establish an exemption.</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Payment of the proceeds from the sale or other taxable disposition (including a redemption, exchange or retirement) of a note effected by the U.S. office of a U.S. or non-U.S. broker will be subject to information reporting requirements and backup withholding unless you properly certify under penalties of perjury as to your non-U.S. status on IRS Form W-8BEN or IRS Form W-8BEN-E,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non-U.S. office of a broker. However, unless such a broker has documentary evidence in its records that you are not a United States person and certain other conditions are met, or you otherwise establish an exemption, information reporting will apply to a payment of the proceeds of the taxable disposition of a note effected outside the United States by such a broker if it has certain relationships with the United States.</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on Payments to Certain Foreign Entities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(referred to as “FATCA”) impose a 30% U.S. federal withholding tax on “withholdable payments” (as defined in the Code), including payments of interest on the notes if paid to a “foreign financial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proposed U.S. Treasury regulations provide that such payments of gross proceeds (other than amounts treated as interest) do not constitute withholdable payments. Taxpayers generally may rely on these proposed U.S. Treasury regulations until they are revoked or final U.S. Treasury regulations are issued.</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Foreign financial institutions located in jurisdictions that have an intergovernmental agreement with the United States with respect to these rules may be subject to different rules. Under certain circumstances, a holder of the notes might be eligible for refunds or credits of such taxes. You should consult your own tax advisor regarding the effects of FATCA on your investment in the notes.</w:t>
      </w:r>
    </w:p>
    <w:p>
      <w:pPr>
        <w:spacing w:after="0" w:line="172"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INCOME TAX CONSEQUENCES IS FOR INFORMATIONAL PURPOSES ONLY AND IS NOT TAX ADVICE. YOU SHOULD CONSULT YOUR OWN TAX ADVISOR REGARDING THE PARTICULAR U.S. FEDERAL, STATE, LOCAL AND NON-U.S. TAX CONSEQUENCES OF ACQUIRING, OWNING AND DISPOSING OF THE NOTES, INCLUDING THE CONSEQUENCES OF ANY PROPOSED CHANGE IN APPLICABLE LAWS.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BofA Securities, Inc., Citigroup Global Markets Inc., RBC Capital Markets, LLC and Truist Securities,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6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18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5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2029 Notes</w:t>
            </w:r>
          </w:p>
        </w:tc>
        <w:tc>
          <w:tcPr>
            <w:tcW w:w="560" w:type="dxa"/>
            <w:vAlign w:val="bottom"/>
          </w:tcPr>
          <w:p>
            <w:pPr>
              <w:spacing w:after="0"/>
              <w:rPr>
                <w:sz w:val="15"/>
                <w:szCs w:val="15"/>
                <w:color w:val="auto"/>
              </w:rPr>
            </w:pPr>
          </w:p>
        </w:tc>
        <w:tc>
          <w:tcPr>
            <w:tcW w:w="9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2036 Notes</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8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86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(as defined below), or to contribute to payments the underwriters may be required to make in respect of those liabilities.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notes to the public at the public offering price set forth on the cover page of this prospectus supplement and to certain dealers at such price less a concession not in excess of    % of the principal amount of the 2029 notes or    % of the principal amount of the 2036 notes. The underwriters may allow, and dealers may re-allow, a concession not in excess</w:t>
      </w:r>
    </w:p>
    <w:p>
      <w:pPr>
        <w:spacing w:after="0" w:line="1"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of    % of the principal amount of the 2029 notes and    % of the principal amount of the 2036 notes, in each case, to other dealers. After the initial offering, the public offering price, concession or any other term of the offering may be changed.</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approximately $1.4 million and are payable by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notes of each series are a new issue of securities with no established trading market. We do not intend to apply for listing of the notes on any national securities exchange or for inclusion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on the cover page of this prospectus supplement, which will be the        business day following the date of the pricing of the notes. Under Rule 15c6-1 of the Exchange Act, trades in the secondary market generally are required to settle in one business day, unless the parties to a trade expressly agree otherwise. Accordingly, purchasers who wish to trade notes prior to the business day before the settlement date will be required, by virtue of the fact that the notes initially will settle in T+    , to specify alternative settlement arrangements to prevent a failed settlement.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These transactions may include short sales, purchases on the open market to cover positions created by short sales and stabilizing transactions. Short sales involve the sale by the underwriters of a greater number of notes than they are required to purchase in the offering. Stabilizing transactions consist of various bids for or purchases of notes made by the underwriters in the open market prior to the completion of the offering.</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w:t>
      </w:r>
    </w:p>
    <w:p>
      <w:pPr>
        <w:spacing w:after="0" w:line="176"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by the underwriters, as well as other purchases by the underwriters for their own accounts, may stabilize, maintain or otherwise affect the market prices of the notes. As a result, the prices of the notes may be higher than the prices that otherwise might exist in the open market. If these activities are commenced, they may be discontinued by the underwriters at any time. These transactions may be effected in the over-the-counter market or otherwise.</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of the underwriters and/or their respective affiliates may hold the 6.875% 2029 notes, or are lenders under our revolving credit facility and/or are dealers under the Commercial Paper Program. Accordingly, to the extent proceeds are used to fund the redemption of the 6.875%</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2029 notes or to repay borrowings under our revolving credit facility and/or the Commercial Paper Program, such underwriters or affiliates may receive a portion of any net proceeds from this offering. Moreover, we have entered into derivative financial transactions with affiliates of certain of the underwriters. For a description of these transactions, see “</w:t>
      </w:r>
      <w:r>
        <w:rPr>
          <w:rFonts w:ascii="Times New Roman" w:cs="Times New Roman" w:eastAsia="Times New Roman" w:hAnsi="Times New Roman"/>
          <w:sz w:val="18"/>
          <w:szCs w:val="18"/>
          <w:i w:val="1"/>
          <w:iCs w:val="1"/>
          <w:color w:val="auto"/>
        </w:rPr>
        <w:t>Quantitative and Qualitative Disclosures About Market Risk—Commodity Price Risk</w:t>
      </w:r>
      <w:r>
        <w:rPr>
          <w:rFonts w:ascii="Times New Roman" w:cs="Times New Roman" w:eastAsia="Times New Roman" w:hAnsi="Times New Roman"/>
          <w:sz w:val="18"/>
          <w:szCs w:val="18"/>
          <w:color w:val="auto"/>
        </w:rPr>
        <w:t>” in our Quarterly Report on Form 10-Q for the nine months ended September 30, 2025. We have entered into these derivative financial transactions on terms we believe to be customary in connection with these transactions.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underwriters or their affiliates have a lending relationship with us, certain of the underwriters or their affiliates routinely hedge, certain other of the underwriters or their affiliates are likely to hedge and certain other of the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Certain of the underwriters and/or their respective affiliates may hold the 6.875% 2029 notes, or are lenders under our revolving credit facility and/or are dealers under the Commercial Paper Program. Because certain of the underwriters and/or their affiliates are expected to receive at least 5% of the net proceeds of this offering, such underwriters and/or their affiliates could be deemed to have a “conflict of interest” under Rule 5121. See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Accordingly, this offering is being made in compliance with the requirements of Rule 5121. The appointment of a “qualified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is not required in connection with this offering because the notes are “investment grade rated” as defined in paragraph (f)(8) of Rule 5121. Such underwriters and/or their affiliates will not confirm sales of the notes offered hereby to any account over which it exercises discretionary authority without the prior written approval of the customer. Such underwriters and/or their affiliates will retain documentation of such approval in its records.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w:t>
      </w:r>
    </w:p>
    <w:p>
      <w:pPr>
        <w:spacing w:after="0" w:line="2"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19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the notes in the UK will be made pursuant to an exemption under the UK Prospectus Regulation and the FSMA from the requirement to publish a prospectus for offers of the notes. This prospectus supplement and the accompanying prospectus are not a prospectus for the purposes of the UK Prospectus Regulation or the FSMA.</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reviewed, approved or licensed by the Central Bank of the United Arab Emirates (the “UAE”), the Emirates Securities and Commodities Authority (the “SCA”) or any other relevant licensing authority in the UAE including any licensing authority incorporated under the laws and regulations of any of the free zones established and operating in the UAE including, without limitation, the Dubai Financial Services Authority (the “DFSA”), a regulatory authority of the Dubai International Financial Centre (the “DIFC”).</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and do not, constitute an offer, sale or delivery of notes or other securities under the laws of the UAE. Each underwriter has represented and agreed that the notes have not been and will not be registered with the SCA or the UAE Central Bank, the Dubai Financial Market, the Abu Dhabi Securities Market or any other UAE regulatory authority or exchange. The issue and/or sale of the notes has not been approved or licensed by the SCA, the UAE Central Bank or any other relevant licensing authority in the UAE, and does not constitute a public offer of securities in the UAE in accordance with the Commercial Companies Law, Federal Law No. 1 of 2015 (as amended) or otherwise, does not constitute an offer in the UAE in accordance with the Board Decision No. 37 of 2012 Concerning the Regulation of Investment Funds (whether by a Foreign Fund, as defined therein, or otherwise), and further does not constitute the brokerage of securities in the UAE in accordance with the Board Decision No. 27 of 2014 Concerning Brokerage in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Bermuda</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notes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registered as a prospectus with the Monetary Authority of Singapore. Accordingly, each underwriter has represented, warranted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Classification—Solely for the purposes of the issuer’s obligations pursuant to Sections 309B(1)(a) and 309B(1)(c) of the SFA, the issuer has determined, and hereby notifies all relevant persons (as defined in Section 309A of the SFA) that the securities are a “prescribed capital markets product” (as defined in the Securities and Futures (Capital Markets Products) Regulations 2018) and an Excluded Investment Product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Act of Japan (Act No. 25 of 1948, as amended) (the “Financial Instruments and Exchange Act”) and each underwriter has represented and agreed that it has not offered or sold and will not offer or sell any notes, directly or indirectly, in Japan or to, or for the benefit of, any resident of Japan (as defined under Item 5, Paragraph 1, Article 6 of the Foreign Exchange and Foreign Trade Act (Act No. 228 of 1949, as amended)), or to others for re-offering or resale, directly or indirectly, in Japan or to, or for the benefit of, a resident of Japan, except in each case (i) pursuant to an exemption from the registration requirements of, and otherwise in compliance with, the Financial Instruments and Exchange Act and (ii) in compliance with any other applicable laws, regulations and ministerial guidelines of Japan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or relevant laws and regulations that requires a registration, filing or approval of the Financial Supervisory Commission of Taiwan and/or other regulatory authority of Taiwan. No person or entity in Taiwan is authorized to offer, sell or distribute or otherwise intermediate the offering of the notes or the provision of information relating to this prospectus supplement and the accompanying prospectus.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80"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notes must observe such Australian on-sale restrictions.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Abu Dhabi Global Market</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Korea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notes have not been listed on any securities exchanges in the world including, without limitation, the Korea Exchange in Korea. Furthermore, the purchaser of the notes shall comply with all applicable regulatory requirements (including, but not limited to, requirements under the FETL) in connection with the purchase of the notes. By the purchase of the notes, the relevant holder thereof will be deemed to represent and warrant that if it is in Korea or is a resident of Korea, it purchased the notes pursuant to the applicable laws and regulations of Korea.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Luxembourg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approved by and will not be submitted for approval to the Luxembourg Financial Sector Authority (Commission de Surveillance du Secteur Financier) (the “CSSF”),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Italy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offering of the notes has not been registered with the Italian Securities and Exchange Commission (Commissione Nazionale per le Società e la Borsa, the “CONSOB”) pursuant to Italian securities legislation and, accordingly, no notes may be offered, sold or delivered, nor may copies of this prospectus supplement, the accompanying prospectus, or any other document relating to the notes be distributed in the Republic of Italy (“Italy”), except: (i) to qualified investors (investitori qualificati), pursuant to Article 100 of Legislative Decree no. 58 of February 24, 1998 (the “Consolidated Financial Services Act”) and Article 34-ter, paragraph 1, letter (b) of CONSOB regulation No. 11971 of May 14, 1999 (the “CONSOB Regulation”), all as amended; or (ii) in any other circumstances where an express exemption from compliance with the restrictions on offers to the public applies, as provided under Article 100 of the Consolidated Financial Services Act and Article 34-ter of the CONSOB Regulation. Moreover, and subject to the foregoing, any offer, sale or delivery of the notes or distribution of copies of this prospectus supplement, the accompanying prospectus, or any other document relating to the notes in Italy under (i) or (ii) above must be: (i) made by an investment firm, bank or financial intermediary permitted to conduct such activities in Italy in accordance with the Consolidated Financial Services Act, Legislative Decree No. 385 of September 1, 1993 (the “Banking Act”), CONSOB Regulation No. 20307 of February 15, 2018, all as amended; (ii) in compliance with Article 129 of the Banking Act, as amended from time to time, and the implementing guidelines of the Bank of Italy, as amended from time to time, pursuant to which the Bank of Italy may request information on the offering or issue of securities in Italy; and (iii) in compliance with any securities, tax, exchange control and any other applicable laws and regulations, including any limitation or requirement which may be imposed from time to time, inter alia, by CONSOB or the Bank of Italy. Any investor purchasing the notes in the offering is solely responsible for ensuring that any offer or resale of the notes it purchased in the offering occurs in compliance with applicable Italian laws and regulations.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Ireland</w:t>
      </w:r>
    </w:p>
    <w:p>
      <w:pPr>
        <w:spacing w:after="0" w:line="121"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No action may be taken with respect to the notes in or involving Ireland otherwise than in conformity with the provisions of (a) the European Union (Markets in Financial Instruments) Regulations 2017 (S.I. No. 375 of 2017) (as amended) of Ireland (the “MiFID Regulations”), including, without limitation, Regulation 5 (Regulation for authorisation (and certain provisions concerning MTFs and OTFs)) thereof, or any corresponding provision of any replacement legislation, or any codes of conduct used in connection therewith and the provisions of the Investor Compensation Act 1998 of Ireland, (b) the Companies Act 2014 of Ireland (as amended, the “Companies Act”), the Central Bank Acts 1942 to 2018 of Ireland (as amended) and any codes of conduct rules made under Section 117(1) of the Central Bank Act 1989 of Ireland (as amended), (c) the Prospectus Regulation and any rules or guidance issued under Section 1363 of the Companies Act by the Central Bank of Ireland, and (d) the Market Abuse Regulation (EU 596/2014) (as amended), the European Union (Market Abuse) Regulations 2016 (as amended) of Ireland and any rules and guidance issued by the Central Bank of Ireland under Section 1370 of the Companies Act.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20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1" w:lineRule="exact"/>
        <w:rPr>
          <w:sz w:val="20"/>
          <w:szCs w:val="20"/>
          <w:color w:val="auto"/>
        </w:rPr>
      </w:pPr>
    </w:p>
    <w:p>
      <w:pPr>
        <w:ind w:left="1080" w:right="1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restraint d’investisseurs), in each case investing for their own account, all as defined in, and in accordance with, articles L.411-2, D.411-1, D.411-2, D.734-1, D.744-1, D.754-1 and D.764-1 of the French Code monétaire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L.411-2-II-1o-or-2o-or 3o of the French Code monétaire et financier and article 211-2 of the General Regulations (Règlement Général) of the Autorité des Marchés Financiers, does not constitute a public offer (appel public à l’épargne).</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Germany</w:t>
      </w:r>
    </w:p>
    <w:p>
      <w:pPr>
        <w:spacing w:after="0" w:line="121"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the legality of the notes being offered hereby will be passed upon for us by Vinson &amp; Elkins L.L.P., Houston, Texas. Certain legal matters with respect to the legality of the notes being offered hereby will be passed upon for the underwriters by Gibson, Dunn &amp; Crutcher LLP, Dallas, Texas.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60"/>
          </w:cols>
          <w:pgMar w:left="320" w:top="455"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file periodic reports, current reports, proxy statements and other information with the SEC. Our SEC filings are available on the SEC’s website at http://</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We also make available free of charge on our website, at http://</w:t>
      </w:r>
      <w:r>
        <w:rPr>
          <w:rFonts w:ascii="Times New Roman" w:cs="Times New Roman" w:eastAsia="Times New Roman" w:hAnsi="Times New Roman"/>
          <w:sz w:val="18"/>
          <w:szCs w:val="18"/>
          <w:i w:val="1"/>
          <w:iCs w:val="1"/>
          <w:color w:val="auto"/>
        </w:rPr>
        <w:t>www.targaresources.com</w:t>
      </w:r>
      <w:r>
        <w:rPr>
          <w:rFonts w:ascii="Times New Roman" w:cs="Times New Roman" w:eastAsia="Times New Roman" w:hAnsi="Times New Roman"/>
          <w:sz w:val="18"/>
          <w:szCs w:val="18"/>
          <w:color w:val="auto"/>
        </w:rPr>
        <w:t>,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can also obtain information about us at the office of the NYSE, 20 Broad Street, New York, New York 10005.</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supplement and the accompanying base prospectus, which means that we disclose important information to you by referring you to another document filed separately with the SEC. The information incorporated by reference is deemed to be part of this prospectus supplement and the accompanying base prospectus, except for any information superseded by information contained expressly in this prospectus supplement or the accompanying base prospectus, and the information we file later with the SEC will automatically supersede this information. You should not assume that (i) the information incorporated by reference in this prospectus supplement and the accompanying base prospectus is accurate as of any date other than the respective date of the documents incorporated by reference or (ii) the information contained in this prospectus supplement and the accompanying base prospectus is accurate as of any date other that the date on the front page of this prospectus supplement or the accompanying base prospectus, as applicable.</w:t>
      </w:r>
    </w:p>
    <w:p>
      <w:pPr>
        <w:spacing w:after="0" w:line="192"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incorporate by reference in this prospectus supplement the documents listed below and any future filings made by Targa Resources Corp. with the SEC under Section 13(a), 13(c), 14 or 15(d) of the Exchange Act (excluding any information furnished and not filed pursuant to 2.02 or 7.01 on any Current Report on Form 8-K), including all such documents we may file with the SEC from the date of this prospectus supplement until the termination of each offering under this prospectus supplement:</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portions of our Definitive Proxy Statement on </w:t>
      </w:r>
      <w:hyperlink r:id="rId56">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that was filed on March 28, 2025 and are incorporated by reference into Part III of our Annual Report on </w:t>
      </w:r>
      <w:hyperlink r:id="rId5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periods ended </w:t>
      </w:r>
      <w:hyperlink r:id="rId57">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9">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auto"/>
          </w:rPr>
          <w:t xml:space="preserve">our Current Reports on Form 8-K filed on </w:t>
        </w:r>
        <w:r>
          <w:rPr>
            <w:rFonts w:ascii="Times New Roman" w:cs="Times New Roman" w:eastAsia="Times New Roman" w:hAnsi="Times New Roman"/>
            <w:sz w:val="18"/>
            <w:szCs w:val="18"/>
            <w:u w:val="single" w:color="auto"/>
            <w:color w:val="0000EE"/>
          </w:rPr>
          <w:t>February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18, 2025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July 28, 2025</w:t>
        </w:r>
      </w:hyperlink>
      <w:hyperlink r:id="rId6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2">
        <w:r>
          <w:rPr>
            <w:rFonts w:ascii="Times New Roman" w:cs="Times New Roman" w:eastAsia="Times New Roman" w:hAnsi="Times New Roman"/>
            <w:sz w:val="18"/>
            <w:szCs w:val="18"/>
            <w:u w:val="single" w:color="auto"/>
            <w:color w:val="0000EE"/>
          </w:rPr>
          <w:t xml:space="preserve">August 6, 2025 </w:t>
        </w:r>
      </w:hyperlink>
      <w:hyperlink r:id="rId6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August 7, 2025</w:t>
        </w:r>
      </w:hyperlink>
      <w:hyperlink r:id="rId60">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You can obtain copies of any of these documents, and any exhibit specifically incorporated by reference in those documents, without charge upon written or oral request by requesting them in writing or by telephone at:</w:t>
      </w:r>
    </w:p>
    <w:p>
      <w:pPr>
        <w:spacing w:after="0" w:line="162"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Targa Resources Corp.</w:t>
      </w:r>
    </w:p>
    <w:p>
      <w:pPr>
        <w:spacing w:after="0" w:line="27"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811 Louisiana St., Suite 2100</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(713) 584-1000</w:t>
      </w:r>
    </w:p>
    <w:p>
      <w:pPr>
        <w:spacing w:after="0" w:line="205" w:lineRule="exact"/>
        <w:rPr>
          <w:rFonts w:ascii="Times New Roman" w:cs="Times New Roman" w:eastAsia="Times New Roman" w:hAnsi="Times New Roman"/>
          <w:sz w:val="18"/>
          <w:szCs w:val="18"/>
          <w:color w:val="0000EE"/>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www.targaresources.com</w:t>
      </w:r>
      <w:r>
        <w:rPr>
          <w:rFonts w:ascii="Times New Roman" w:cs="Times New Roman" w:eastAsia="Times New Roman" w:hAnsi="Times New Roman"/>
          <w:sz w:val="18"/>
          <w:szCs w:val="18"/>
          <w:color w:val="auto"/>
        </w:rPr>
        <w:t>. However, the information on our website is not part of this prospectus supplement or the accompanying base prospectus and is not incorporated by reference into this prospectus supplement or the accompanying base prospectus, and you should rely only on information contained or incorporated by reference in this prospectus supplement and the accompanying base prospectus when making a decision as to whether or not to invest in the notes.</w:t>
      </w:r>
    </w:p>
    <w:p>
      <w:pPr>
        <w:spacing w:after="0" w:line="114"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Some of the information included in this prospectus supplement contains our reports, filings and other public announcements, which may from time to time contain statements that do not directly or exclusively relate to historical facts. Such statements are “forward-looking statements.” You can typically identify forward-looking statements within the meaning of Section 27A of the Securities Act of 1933, as amended (the “Securities Act”), and Section 21E of the Exchange Act by the use of forward-looking statements, such as “may,” “could,” “project,” “believe,” “anticipate,” “expect,” “estimate,” “potential,” “plan,” “forecast” and other similar words.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62"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risks set forth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the risks set forth in “Item 1A. Risk Factors” in our most recent Annual Report on Form 10-K, any subsequently filed Quarterly Reports on Form 10-Q and any subsequently filed Current Reports on Form 8-K (other than, in each case, information furnished rather than filed), all of which are incorporated by reference in this prospectus supplement, as well as the following risks and uncertainties:</w:t>
      </w:r>
    </w:p>
    <w:p>
      <w:pPr>
        <w:spacing w:after="0" w:line="78" w:lineRule="exact"/>
        <w:rPr>
          <w:sz w:val="20"/>
          <w:szCs w:val="20"/>
          <w:color w:val="auto"/>
        </w:rPr>
      </w:pPr>
    </w:p>
    <w:p>
      <w:pPr>
        <w:ind w:left="1080" w:right="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success of crude oil and natural gas drilling around our assets, our success in connecting natural gas supplies to our gathering and processing systems, oil supplies to our gathering systems and natural gas liquid supplies to our logistics and transportation facilities and our success in connecting our facilities to transportation services and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other countries with significant hydrocarbon production;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changes in natural gas, natural gas liquids, crude oil and other commodity prices, interest rates and demand for our services;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internal growth capital projects or acquisitions and the successful integration and future performance of such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business development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obtain and maintain necessary licenses, permits and other approvals;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changes, including the impact of consolidation, changes in competition and any increase in the use of alternative forms of energy for oil, gas and NGLs;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downside commodity price volatility from a variety of potential factors that can result in lower activity in our areas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risk management activities, including the use of derivative instruments to hedge commodity price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business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significant public health crises and their impact on demand for oil, gas and NGLs;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other natural phenomena, and related impacts;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on favorable terms, or at all, which will depend on general market conditions, including the impact of interest rates and any associated Federal Reserve policies,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and disruptions in the bank and capital markets as a whole, our credit ratings and leverage levels, and demand for our common equity, senior unsecured notes and commercial paper;</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collateral required to be posted from time to time in our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creditworthiness of counterparties to various transactions with us;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particularly with regard to taxes, tariffs and international trade, safety and the protection of the environment;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elsewhere in this prospectus supplement and in the documents incorporated by reference herein.</w:t>
      </w:r>
    </w:p>
    <w:p>
      <w:pPr>
        <w:spacing w:after="0" w:line="22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You should read these forward-looking statements carefully because they discuss our expectations about our future performance, our future operating results or our future financial condition, or state other “forward-looking” information. Before you invest, you should be aware that the occurrence of any of the events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“Item 1A. Risk Factors” in our most recent Annual Report on Form 10-K, any subsequently filed Quarterly Reports on Form 10-Q and any subsequently filed Current Reports on Form 8-K (other than, in each case, information furnished rather than filed), all of which are incorporated by reference herein, could substantially harm our business, results of operations and financial condition. In light of these risks, uncertainties and assumptions, the events described in the forward-looking statements might not occur or might occur to a different extent or at a different time than we have described.</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Should one or more of the risks or uncertainties described in this prospectus supplement or the documents incorporated by reference herein occur, or should underlying assumptions prove incorrect, our actual results and plans could differ materially from those expressed in any forward-looking statements.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supplement and all subsequent written and oral forward-looking statements attributable to us or persons acting on our behalf are expressly qualified in their entirety by this cautionary statement.</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required by applicable law, we disclaim any duty to update any forward-looking statements, all of which are expressly qualified by the statements in this section, to reflect events or circumstances after the date of this prospectus supplement.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060"/>
          </w:cols>
          <w:pgMar w:left="320" w:top="455"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173990</wp:posOffset>
            </wp:positionV>
            <wp:extent cx="2031365" cy="565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20313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Targa Resources Corp.</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offer and sell the securities listed above from time to time in one or more offerings. Any debt securities we offer pursuant to this prospectus may be fully and unconditionally guaranteed by certain of our subsidiaries.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securities are offered, we will provide a prospectus supplement and attach it to this prospectus. The prospectus supplement will contain more specific information about the offering and the terms of the securities being offered. A prospectus supplement may also add, update or change information contained in this prospectus. This prospectus may not be used to offer or sell securities without a prospectus supplement describing the method and terms of the offering.</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directly or through agents, underwriters or dealers, or through a combination of these methods, on a continuous or delayed basis. See “Plan of Distribution.” The prospectus supplement will list any agents, underwriters or dealers that may be involved and the compensation they will receive. The prospectus supplement will also show you the total amount of money that we will receive from selling the securities being offered, after the expenses of the offering. You should carefully read this prospectus and any accompanying prospectus supplement, together with the documents we incorporate by reference, before you invest in any of our securities.</w:t>
      </w:r>
    </w:p>
    <w:p>
      <w:pPr>
        <w:spacing w:after="0" w:line="170" w:lineRule="exact"/>
        <w:rPr>
          <w:sz w:val="20"/>
          <w:szCs w:val="20"/>
          <w:color w:val="auto"/>
        </w:rPr>
      </w:pPr>
    </w:p>
    <w:p>
      <w:pPr>
        <w:jc w:val="both"/>
        <w:ind w:left="120" w:right="40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any of our securities involves risks. Please read carefully the information included and incorporated by reference in this prospectus and in any applicable prospectus supplement for a discussion of the factors you should consider before deciding to purchase our securities.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6 of this prospectus.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(the “NYSE”) under the symbol “TRGP.”</w:t>
      </w:r>
    </w:p>
    <w:p>
      <w:pPr>
        <w:spacing w:after="0" w:line="22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prospectus is dated March 21, 2025.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4"/>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TARGA RESOURCES CORP.</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ABOUT FORWARD-LOOKING STATEMENTS</w:t>
            </w:r>
          </w:p>
        </w:tc>
        <w:tc>
          <w:tcPr>
            <w:tcW w:w="47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0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90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3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6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You should rely only on the information contained or incorporated by reference in this prospectus or any prospectus supplement. We have not authorized anyone to provide you with additional or different information, and we take no responsibility for, and can provide no assurance as to the reliability of, any other information that others may give you. If anyone provides you with different or inconsistent information, you should not rely on it.</w:t>
      </w:r>
    </w:p>
    <w:p>
      <w:pPr>
        <w:spacing w:after="0" w:line="154"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color w:val="auto"/>
        </w:rPr>
        <w:t>This prospectus is not an offer to sell or the solicitation of an offer to buy any securities other than the securities to which they relate and is not an offer to sell or the solicitation of an offer to buy securities in any jurisdiction to any person to whom it is unlawful to make an offer or solicitation in that jurisdiction. You should not assume that the information contained in this prospectus or any prospectus supplement is accurate as of any date other than the date on the front cover of those documents. You should not assume that the information contained in the documents incorporated by reference in this prospectus or any prospectus supplement is accurate as of any date other than the respective dates of those documents. Our business, financial condition, results of operations and prospects may have changed since those dates.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or “SEC,” using a “shelf” registration process. Under this shelf registration process, we may, from time to time, offer and sell any combination of the securities described in this prospectus in one or more offerings. This prospectus provides you with a general description of the securities we may offer. Each time we sell securities, we will provide you with this prospectus and a prospectus supplement that will contain specific information about the terms of the offering and the offered securities. That prospectus supplement may also add, update or change information contained in this prospectus. Any statement that we make in this prospectus will be modified or superseded by any inconsistent statement made by us in a prospectus supplement.</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Additional information, including our consolidated financial statements and the notes thereto, is incorporated in this prospectus by reference to our reports filed with the SEC. Please read “Where You Can Find More Information” below. You are urged to read this prospectus carefully, including “Risk Factors,” and the documents incorporated by reference in their entirety before investing in our securities.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or unless otherwise noted, all references in this prospectus or any accompanying prospectus supplement to “TRC” and to the “Company,” “Targa,” “we” or “us” are to Targa Resources Corp. and its subsidiaries.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 The Company is primarily engaged in the business of: (i) gathering, compressing, treating, processing, transporting and purchasing and selling natural gas; (ii) transporting, storing, fractionating, treating and purchasing and selling natural gas liquids (“NGL(s)”) and NGL products, including services to liquified petroleum gas exporters; and (iii) gathering, storing, terminaling and purchasing and selling crude oil. Our principal executive offices are located at 811 Louisiana St., Suite 2100, Houston, Texas 77002, and our telephone number at that location is (713) 584-1000. Our common stock is listed on the NYSE under the symbol “TRGP.”</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We file periodic reports, current reports, proxy statements and other information with the SEC. Our SEC filings are available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make available free of charge on our website, at</w:t>
      </w:r>
      <w:r>
        <w:rPr>
          <w:rFonts w:ascii="Times New Roman" w:cs="Times New Roman" w:eastAsia="Times New Roman" w:hAnsi="Times New Roman"/>
          <w:sz w:val="18"/>
          <w:szCs w:val="18"/>
          <w:i w:val="1"/>
          <w:iCs w:val="1"/>
          <w:color w:val="auto"/>
        </w:rPr>
        <w:t xml:space="preserve"> http://www.targaresources.com </w:t>
      </w:r>
      <w:r>
        <w:rPr>
          <w:rFonts w:ascii="Times New Roman" w:cs="Times New Roman" w:eastAsia="Times New Roman" w:hAnsi="Times New Roman"/>
          <w:sz w:val="18"/>
          <w:szCs w:val="18"/>
          <w:color w:val="auto"/>
        </w:rPr>
        <w:t>all materials that we file electronically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including our annual report on Form 10-K, quarterly reports on Form 10-Q, current reports on Form 8-K, Section 16 reports and amendments to these reports as soon as reasonably practicable after such materials are electronically filed with, or furnished to, the SEC. You can also obtain information about us at the office of the NYSE, 20 Broad Street, New York, New York 10005.</w:t>
      </w:r>
    </w:p>
    <w:p>
      <w:pPr>
        <w:spacing w:after="0" w:line="18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and the information we file later with the SEC will automatically supersede this information. You should not assume that (i) the information incorporated by reference in this prospectus is accurate as of any date other than the respective date of the documents incorporated by reference or (ii) the information contained in this prospectus is accurate as of any date other that the date on the front page of this prospectus.</w:t>
      </w:r>
    </w:p>
    <w:p>
      <w:pPr>
        <w:spacing w:after="0" w:line="18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and any future filings made by Targa Resources Corp. with the SEC under Section 13(a), 13(c), 14 or 15(d) of the Securities Exchange Act of 1934, as amended (the “Exchange Act”) (excluding any information furnished and not filed pursuant to 2.02 or 7.01 on any current report on Form 8-K), including all such documents we may file with the SEC from the date of this prospectus until the termination of each offering under this prospectus:</w:t>
      </w:r>
    </w:p>
    <w:p>
      <w:pPr>
        <w:spacing w:after="0" w:line="85"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72">
        <w:r>
          <w:rPr>
            <w:rFonts w:ascii="Times New Roman" w:cs="Times New Roman" w:eastAsia="Times New Roman" w:hAnsi="Times New Roman"/>
            <w:sz w:val="18"/>
            <w:szCs w:val="18"/>
            <w:u w:val="single" w:color="auto"/>
            <w:color w:val="0000EE"/>
          </w:rPr>
          <w:t>February 20, 2025</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February 25,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4">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included in our </w:t>
      </w:r>
      <w:hyperlink r:id="rId7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001-34991), filed on December 2, 2010 and </w:t>
      </w:r>
      <w:hyperlink r:id="rId76">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2024, including any amendment or report filed for the purpose of updating, changing or otherwise modifying such description.</w:t>
      </w:r>
    </w:p>
    <w:p>
      <w:pPr>
        <w:spacing w:after="0" w:line="176" w:lineRule="exact"/>
        <w:rPr>
          <w:rFonts w:ascii="Times New Roman" w:cs="Times New Roman" w:eastAsia="Times New Roman" w:hAnsi="Times New Roman"/>
          <w:sz w:val="18"/>
          <w:szCs w:val="18"/>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You can obtain copies of any of these documents, and any exhibit specifically incorporated by reference in those documents, without charge upon written or oral request by requesting them in writing or by telephone at:</w:t>
      </w:r>
    </w:p>
    <w:p>
      <w:pPr>
        <w:spacing w:after="0" w:line="16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Targa Resources Corp.</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811 Louisiana St., Suite 2100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(713) 584-1000</w:t>
      </w:r>
    </w:p>
    <w:p>
      <w:pPr>
        <w:spacing w:after="0" w:line="205" w:lineRule="exact"/>
        <w:rPr>
          <w:rFonts w:ascii="Times New Roman" w:cs="Times New Roman" w:eastAsia="Times New Roman" w:hAnsi="Times New Roman"/>
          <w:sz w:val="18"/>
          <w:szCs w:val="18"/>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http://www.targaresources.com</w:t>
      </w:r>
      <w:r>
        <w:rPr>
          <w:rFonts w:ascii="Times New Roman" w:cs="Times New Roman" w:eastAsia="Times New Roman" w:hAnsi="Times New Roman"/>
          <w:sz w:val="18"/>
          <w:szCs w:val="18"/>
          <w:color w:val="auto"/>
        </w:rPr>
        <w:t>. However, the information on our website is not part of this prospectus and is not incorporated by reference into this prospectus, and you should rely only on information contained or incorporated by reference in this prospectus when making a decision as to whether or not to invest in our securities.</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Some of the information included in this prospectus contains our reports, filings and other public announcements, which may from time to time contain statements that do not directly or exclusively relate to historical facts. Such statements are “forward-looking statements.” You can typically identify forward-looking statements within the meaning of Section 27A of the Securities Act of 1933, as amended (the “Securities Act”), and Section 21E of the Exchange Act by the use of forward-looking statements, such as “may,” “could,” “project,” “believe,” “anticipate,” “expect,” “estimate,” “potential,” “plan,” “forecast” and other similar words.</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6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risks set forth in “Risk Factors,” the risks set forth in “Item 1A. Risk Factors” in our most recent Annual Report on Form 10-K, any subsequently filed Quarterly Reports on Form 10-Q and any subsequently filed Current Reports on Form 8-K (other than, in each case, information furnished rather than filed), all of which are incorporated by reference in this prospectus, any risk factors included in any applicable prospectus supplement, as well as the following risks and uncertainties:</w:t>
      </w:r>
    </w:p>
    <w:p>
      <w:pPr>
        <w:spacing w:after="0" w:line="94" w:lineRule="exact"/>
        <w:rPr>
          <w:sz w:val="20"/>
          <w:szCs w:val="20"/>
          <w:color w:val="auto"/>
        </w:rPr>
      </w:pPr>
    </w:p>
    <w:p>
      <w:pPr>
        <w:ind w:left="1080" w:right="4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success of crude oil and natural gas drilling around our assets, our success in connecting natural gas supplies to our gathering and processing systems, oil supplies to our gathering systems and natural gas liquid supplies to our logistics and transportation facilities and our success in connecting our facilities to transportation services and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other countries with significant hydrocarbon production;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changes in natural gas, natural gas liquids, crude oil and other commodity prices, interest rates and demand for our services;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internal growth capital projects or acquisitions and the successful integration and future performance of such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business development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obtain and maintain necessary licenses, permits and other approvals;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changes, including the impact of consolidation, changes in competition and the addition of alternative forms of energy for oil, gas and NGLs;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downside commodity price volatility from a variety of potential factors that can result in lower activity in our areas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risk management activities, including the use of derivative instruments to hedge commodity price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business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significant public health crises and their impact on demand for oil, gas and NGLs;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other natural phenomena, and related impacts;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which will depend on general market conditions, including the impact of interest rates, associated Federal Reserve policies, the economy, our credit ratings and leverage levels, and demand for our common equity, senior notes and commercial paper;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collateral required to be posted from time to time in our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creditworthiness of counterparties to various transactions with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disruptions in the bank and capital markets, and our ability to obtain capital or financing on favorable terms, or at all;</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particularly with regard to taxes, tariffs and international trade, safety and the protection of the environment;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elsewhere in this prospectus and in the documents incorporated by reference herein.</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You should read these forward-looking statements carefully because they discuss our expectations about our future performance, our future operating results or our future financial condition, or state other “forward-looking” information. Before you invest, you should be aware that the occurrence of any of the events described in “Risk Factors” or “Item 1A. Risk Factors” in our most recent Annual Report on Form 10-K, any subsequently filed Quarterly Reports on Form 10-Q, any subsequently filed Current Reports on Form 8-K (other than, in each case, information furnished rather than filed), all of which are incorporated by reference herein, and any risk factors included in any applicable prospectus supplement could substantially harm our business, results of operations and financial condition. In light of these risks, uncertainties and assumptions, the events described in the forward-looking statements might not occur or might occur to a different extent or at a different time than we have described.</w:t>
      </w:r>
    </w:p>
    <w:p>
      <w:pPr>
        <w:spacing w:after="0" w:line="18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w:t>
      </w:r>
    </w:p>
    <w:p>
      <w:pPr>
        <w:spacing w:after="0" w:line="14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and all subsequent written and oral forward-looking statements attributable to us or persons acting on our behalf are expressly qualified in their entirety by this cautionary statement.</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Except as otherwise required by applicable law, we disclaim any duty to update any forward-looking statements, all of which are expressly qualified by the statements in this section, to reflect events or circumstances after the date of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(other than, in each case, information furnished rather than filed), all of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 risks discussed in the foregoing documents were to occur, our business, financial condition, results of operations and cash flows could be materially adversely affected. Additional risks not presently known to us or that we currently believe are immaterial may also significantly impair our business operations and financial condition. Please read “Cautionary Statement About Forward-Looking Statements” for additional information.</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Except as may otherwise be stated in any applicable prospectus supplement, we intend to use the net proceeds we receive from any sales of securities by us under this prospectus and any prospectus supplement for general corporate purposes, including to repay indebtedness, to repurchase and/or redeem securities, to acquire businesses and/or assets, for capital expenditures, for additions to working capital and for investments in our subsidiaries.</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the applicable prospectus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Dividend Policy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intend to continue to pay a quarterly dividend to our common stockholders; however, the payment of future dividends is dependent upon our financial condition, results of operations, cash flows, the level of our capital expenditures, future business prospects and any other matters that our board of directors, in consultation with management, deems relevant. Covenants contained in our debt agreements could limit the payment of dividends. For a discussion of restrictions on our and our subsidiaries’ ability to pay dividends or make distributions, please see “Note 8—Debt Obligations” in our Consolidated Financial Statements in our Annual Report on Form 10-K for the year ended December 31, 2024, which has been incorporated herein by reference.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prospectus supplement. We will also indicate in the applicable prospectus supplement to what extent the general terms and provisions described in this prospectus apply to a particular series of debt securities.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Throughout this Description of Debt Securities, when we use the terms “Targa,” “we,” “us,” “our” or the “Company,” we are referring solely to Targa Resources Corp. and not to its subsidiaries.</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prospectus supplement, the debt securities will be our direct, unsecured obligations and may be issued in one or more series.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among us, as issuer, the Subsidiary Guarantors (as defined therein) and U.S. Bank Trust Company, National Association, as trustee, dated April 6, 2022 (the “indenture”). We have summarized select portions of the indenture below. The summary is not complete. The indenture has been filed as an exhibit to the registration statement of which this prospectus is a part and you should read the indenture for provisions that may be important to you. Please see “—Glossary” for a description of certain terms described in the summary below. Capitalized terms used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or a committee thereof, and set forth or determined in the manner provided in a resolution of our board of directors, or a committee thereof, in an officer’s certificate or by a supplemental indenture.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the applicable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a foreign currency unit, or if the principal of and any premium and interest on any series of debt securities is payable in a foreign currency or a foreign currency unit, we will provide you with information on the restrictions, elections, general tax considerations, specific terms and other information with respect to that issue of debt securities and such foreign currency or foreign currency unit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Subsidiary Guarantees</w:t>
      </w:r>
    </w:p>
    <w:p>
      <w:pPr>
        <w:spacing w:after="0" w:line="121" w:lineRule="exact"/>
        <w:rPr>
          <w:sz w:val="20"/>
          <w:szCs w:val="20"/>
          <w:color w:val="auto"/>
        </w:rPr>
      </w:pPr>
    </w:p>
    <w:p>
      <w:pPr>
        <w:ind w:left="120" w:right="120"/>
        <w:spacing w:after="0" w:line="274" w:lineRule="auto"/>
        <w:rPr>
          <w:sz w:val="20"/>
          <w:szCs w:val="20"/>
          <w:color w:val="auto"/>
        </w:rPr>
      </w:pPr>
      <w:r>
        <w:rPr>
          <w:rFonts w:ascii="Times New Roman" w:cs="Times New Roman" w:eastAsia="Times New Roman" w:hAnsi="Times New Roman"/>
          <w:sz w:val="17"/>
          <w:szCs w:val="17"/>
          <w:color w:val="auto"/>
        </w:rPr>
        <w:t>Our payment obligations under any series of debt securities may be jointly and severally, fully and unconditionally guaranteed by one or more of our subsidiaries pursuant to the terms of the indenture (each a “Subsidiary Guarantor”), but such subsidiary will be a Subsidiary Guarantor only so long as such subsidiary is a guarantor with respect to the debt securities on the terms provided for in the indenture. The applicable prospectus supplement will describe the terms of any guarantee by the Subsidiary Guarantors. If a series of debt securities is guaranteed by the Subsidiary Guarantors and is designated as subordinate to our Senior Indebtedness, then the guarantees by the Subsidiary Guarantors will be subordinated to the Senior Indebtedness of the Subsidiary Guarantors to substantially the same extent as the series is subordinated to our Senior Indebtedness. Please read “—Subordination.”</w:t>
      </w:r>
    </w:p>
    <w:p>
      <w:pPr>
        <w:spacing w:after="0" w:line="17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guarantee of any Subsidiary Guarantor may be released under certain circumstances. If we exercise our legal or covenant defeasance option with respect to a series of debt securities as under the applicable provisions in the indenture, then the guarantees of such debt securities by all Subsidiary Guarantors will be released. Further, except as provided in an applicable prospectus supplement, a Subsidiary Guarantor will be unconditionally released and discharged from its guarantee of all debt securities:</w:t>
      </w:r>
    </w:p>
    <w:p>
      <w:pPr>
        <w:spacing w:after="0" w:line="85" w:lineRule="exact"/>
        <w:rPr>
          <w:sz w:val="20"/>
          <w:szCs w:val="20"/>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any sale, exchange or transfer, whether by way of merger or otherwise, to any person that is not our affiliate, of all of our direct or indirect Capital Stock in the Subsidiary Guarantor;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the merger of the Subsidiary Guarantor into us or any other Subsidiary Guarantor or the liquidation and dissolution of the Subsidiary Guarantor;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a written notice by us to the trustee, upon the release of all guarantees or other obligations of the Subsidiary Guarantor with respect to the obligations of us under the Credit Agreement.</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at any time following any release of a Subsidiary Guarantor from its guarantee of such series of debt securities pursuant to the third bullet point in the preceding paragraph, the Subsidiary Guarantor again guarantees, becomes a co-obligor with respect to or otherwise provides direct credit support for any of our obligations or the obligations of any of our subsidiaries under the Credit Agreement, then we will cause the Subsidiary Guarantor to again guarantee such series of debt securities in accordance with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applicable prospectus supplement, book-entry debt securities will not be issuable in certificated form.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transfer tax or similar governmental charge payable in connection with a transfer or exchange.</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Except as set forth below, neither we nor any of our subsidiaries are restricted by the indenture from incurring any type of indebtedness or other obligation, from paying dividends or making distributions on our or its respective equity interests or from purchasing or redeeming our or its respective equity interests. The indenture does not require the maintenance of any financial ratios or specified levels of net worth or liquidity. In addition, the indenture does not contain any provisions that would require us to repurchase or redeem or otherwise modify the terms of the debt securities upon a change in control or other events involving us that could adversely affect our creditworthiness.</w:t>
      </w:r>
    </w:p>
    <w:p>
      <w:pPr>
        <w:spacing w:after="0" w:line="179"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Limitations on Liens</w:t>
      </w:r>
      <w:r>
        <w:rPr>
          <w:rFonts w:ascii="Times New Roman" w:cs="Times New Roman" w:eastAsia="Times New Roman" w:hAnsi="Times New Roman"/>
          <w:sz w:val="18"/>
          <w:szCs w:val="18"/>
          <w:color w:val="auto"/>
        </w:rPr>
        <w:t>. We will not, nor will we permit any of our subsidiaries to, create, assume, incur or suffer to exist any mortgage, lien,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pledge, charge or other encumbrance (“liens”) upon any Principal Property or upon any Capital Stock of any Restricted Subsidiary, whether owned on the date of the issuance of any debt securities or thereafter acquired, to secure any Indebtedness of us or any other person (other than the debt securities issued under the indenture), without in any such case making effective provisions whereby all of the outstanding debt securities are secured equally and ratably with, or prior to, such Indebtedness so long as such Indebtedness is so secured.</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Notwithstanding the foregoing, under the indenture, we may, and may permit any of our subsidiaries to, create, assume, incur, or suffer to exist without securing the debt securities (a) any Permitted Lien, (b) any lien upon any Principal Property or Capital Stock of a Restricted Subsidiary to secure our Indebtedness or the Indebtedness of any other person, provided that the aggregate principal amount of all Indebtedness then outstanding secured by such lien and all similar liens under this clause (b) does not exceed 15% of Consolidated Net Tangible Assets, determined at the time of incurrence of such Indebtedness or (c) with respect to any series of debt securities, any lien upon (i) any Principal Property that was not owned by us or any of our subsidiaries on the date of the supplemental indenture creating the debt securities or (ii) Capital Stock of any Restricted Subsidiary that owns no Principal Property and was owned by us or any of our subsidiaries on the date of the supplemental indenture creating the debt securities (an “Excluded Subsidiary”) that (A) is not, and is not required to be, a Subsidiary Guarantor and (B) has not granted any liens on any of its property securing Indebtedness of us or any of our subsidiaries other than such Excluded Subsidiary or any other Excluded Subsidiary.</w:t>
      </w:r>
    </w:p>
    <w:p>
      <w:pPr>
        <w:spacing w:after="0" w:line="1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r>
        <w:rPr>
          <w:rFonts w:ascii="Times New Roman" w:cs="Times New Roman" w:eastAsia="Times New Roman" w:hAnsi="Times New Roman"/>
          <w:sz w:val="18"/>
          <w:szCs w:val="18"/>
          <w:color w:val="auto"/>
        </w:rPr>
        <w:t>. We shall not, in a transaction or series of transactions, consolidate with or merge into any Person or sell,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convey, transfer or otherwise dispose of all or substantially all of our assets to any Person unless:</w:t>
      </w:r>
    </w:p>
    <w:p>
      <w:pPr>
        <w:spacing w:after="0" w:line="64" w:lineRule="exact"/>
        <w:rPr>
          <w:sz w:val="20"/>
          <w:szCs w:val="20"/>
          <w:color w:val="auto"/>
        </w:rPr>
      </w:pPr>
    </w:p>
    <w:p>
      <w:pPr>
        <w:ind w:left="540" w:right="2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resulting from any such consolidation or merger or to which such assets have been sold, leased, conveyed, transferred or otherwise disposed of (the “successor”) is either us or expressly assumes by supplemental indenture the due and punctual payment of the principal of, premium (if any) and interest on all of the debt securities and the performance of our covenants and obligations under the indenture and the debt securities;</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is organized under the laws of the United States, any state thereof or the District of Columbia;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or series of transactions, no default or Event of Default has occurred and is continuing.</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successor will be substituted for us in the indenture with the same effect as if it had been an original party to the indenture. Thereafter, the successor may exercise our rights and powers under the indenture. If we convey or transfer all or substantially all of our assets, we will be released from all liabilities and obligations under the indenture and under the debt securities except that no such release will occur in the case of a lease of all or substantially all of our assets.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Reporting Covenant</w:t>
      </w:r>
      <w:r>
        <w:rPr>
          <w:rFonts w:ascii="Times New Roman" w:cs="Times New Roman" w:eastAsia="Times New Roman" w:hAnsi="Times New Roman"/>
          <w:sz w:val="18"/>
          <w:szCs w:val="18"/>
          <w:color w:val="auto"/>
        </w:rPr>
        <w:t>. If we are subject to the requirements of Section 13 or 15(d) of the Exchange Act, we shall file with the trustee, within 15 days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file the same with the SEC, copies of the annual reports and the information, documents and other reports (or copies of such portions of any of the foregoing as the SEC may by rules and regulations prescribe) that we are required to file with the SEC pursuant to Section 13 or 15(d) of the Exchange Act. If the indenture is qualified under the Trust Indenture Act (“TIA”), but not otherwise, we and our Subsidiary Guarantors shall also comply with the provisions of TIA Section 314(a). If the issuer is not subject to the requirements of Section 13 or 15(d) of the Exchange Act, the issuer shall file with the trustee, within 15 days after it would have been required to file with the SEC, financial statements (and with respect to annual reports, an auditor’s report by a firm of established national reputation) and a Management’s Discussion and Analysis of Financial Condition and Results of Operations, both comparable to what it would have been required to file with the SEC had it been subject to the requirements of Section 13 or 15(d) of the Exchange Act. Any reports, information or documents filed with the SEC pursuant to its Electronic Data Gathering, Analysis and Retrieval (EDGAR) (or any successor) system shall be deemed filed with the trustee as required pursuant to this covenant.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Except as described above or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such default continues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upon redemption, upon required repurchase or otherwise;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or if the series of debt securities is guaranteed by any Subsidiary Guarantor, by such Subsidiary Guarantor, in the indenture (other than a covenant or warranty that has been included in the indenture solely for the benefit of a series of debt securities other than that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w:t>
      </w:r>
    </w:p>
    <w:p>
      <w:pPr>
        <w:spacing w:after="0" w:line="8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or, if the series of debt securities is guaranteed by any Subsidiary Guarantor, of such Subsidiary Guarantor;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series of debt securities is guaranteed by any Subsidiary Guarantor: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subsidiary guarantees ceases to be in full force and effect, except as otherwise provided in the indenture;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subsidiary guarantees is declared null and void in a judicial proceeding;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Guarantor denies or disaffirms its obligations under the indenture or its guarantee;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of us,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applicable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 to:</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covenants in the indenture described above under “—Certain Covenants—Merger, Consolidation or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bearer debt securities (with or without coupons);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any of the provisions of the indenture to permit or facilitate the defeasance and discharge of any series of debt securities; provided that the rights of the holders of the debt securities of such series or any other series are not adversely affected in any material respect;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eliminate any provisions of the indenture that are effective only when there is no outstanding debt security of any series created prior to the execution of such amendment or supplemental indenture that is adversely affected by such change in or elimination of such provision;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TIA.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in the payment of the principal of, premium (if any)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premium, if any, payable upon the redemption of any debt security or waive the requirement that any debt security shall be redeemed;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coin or currency in which any debt security or any premium or interest with respect thereto is payable;</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of, premium, if any, and interest on such holder’s debt securities or to institute suit for the enforcement of the payment of such amounts; or</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w:t>
      </w:r>
    </w:p>
    <w:p>
      <w:pPr>
        <w:spacing w:after="0" w:line="176"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or the compliance of any Subsidiary Guarantor,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defease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released from any and all obligations in respect of the debt securities of any series (subject to certain exceptions). We will be so defeased upon the irrevocable deposit with the trustee, in trust, of money and/or U.S.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This defeasance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64" w:lineRule="exact"/>
        <w:rPr>
          <w:sz w:val="20"/>
          <w:szCs w:val="20"/>
          <w:color w:val="auto"/>
        </w:rPr>
      </w:pPr>
    </w:p>
    <w:p>
      <w:pPr>
        <w:ind w:left="1080" w:right="1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“—Certain Covenants—Merger, Consolidation or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120" w:hanging="424"/>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Satisfaction and Discharge</w:t>
      </w:r>
      <w:r>
        <w:rPr>
          <w:rFonts w:ascii="Times New Roman" w:cs="Times New Roman" w:eastAsia="Times New Roman" w:hAnsi="Times New Roman"/>
          <w:sz w:val="18"/>
          <w:szCs w:val="18"/>
          <w:color w:val="auto"/>
        </w:rPr>
        <w:t>. The indenture provides that, if at any time we shall have delivered to the trustee for cancellation all debt securities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theretofore authenticated and delivered (other than any debt securities of such series that shall have been destroyed, lost or stolen and which shall have been replaced or paid as provided in the indenture and debt securities for whose payment money has theretofore been deposited in trust and thereafter repaid to us as provided in the indenture) or all debt securities of such series not theretofore delivered to the trustee for cancellation shall have become due and payable, or are by their terms to become due and payable at their stated maturity within one year or are to be called for redemption within one year under arrangements satisfactory to the trustee for the giving of notice of redemption, and we shall deposit with the trustee as trust funds the entire amount in the currency in which such debt securities are denominated (except as otherwise provided pursuant to the indenture) sufficient to pay at stated maturity or upon redemption all debt securities of such series not theretofore delivered to the trustee for cancellation, including principal and premium, if any, and interest due or to become due on such date of stated maturity or redemption date, as the case may be, and if in either case we shall also pay or cause to be paid all other sums then due and payable hereunder by us with respect to the debt securities of such series, then the indenture shall cease to be of further effect with respect to the debt securities of such series, and the trustee, on our demand accompanied by an officer’s certificate and</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opinion of counsel and at our cost and expense, shall execute proper instruments acknowledging satisfaction of and discharging the indenture with respect to the debt securities of such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Debt securities of a series may be subordinated to our “Senior Indebtedness,” which we define generally to include any obligation created or assumed by us for the repayment of borrowed money and any guarantee thereof, whether outstanding or hereafter issued, unless, by the terms of the instrument creating or evidencing such obligation, it is provided that such obligation is subordinate or not superior in right of payment to the debt securities or to other obligations that are pari passu with, or subordinated to, the debt securities. Subordinated debt securities and the related guarantees will be subordinate in right of payment, to the extent and in the manner set forth in the indenture and the applicable prospectus supplement relating to such series, to the prior payment of all of our indebtedness and that of, if applicable, any Subsidiary Guarantor that is designated as “Senior Indebtedness” with respect to the series.</w:t>
      </w:r>
    </w:p>
    <w:p>
      <w:pPr>
        <w:spacing w:after="0" w:line="189"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The holders of Senior Indebtedness of ours or, if applicable, a Subsidiary Guarantor will receive payment in full of the Senior Indebtedness before holders of subordinated debt securities will receive any payment of principal, premium, if any, or interest with respect to the subordinated debt securities upon any payment or distribution of our assets or, if applicable to any series of outstanding debt securities, a Subsidiary Guarantor’s assets, to creditors:</w:t>
      </w:r>
    </w:p>
    <w:p>
      <w:pPr>
        <w:spacing w:after="0" w:line="63"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liquidation or dissolution of us or, if applicable to any series of outstanding debt securities, the Subsidiary Guarantors; or</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bankruptcy, receivership or similar proceeding relating to us or, if applicable to any series of outstanding debt securities, to the Subsidiary Guarantors.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Until the Senior Indebtedness is paid in full, any distribution to which holders of subordinated debt securities would otherwise be entitled will be made to the holders of Senior Indebtedness, except that the holders of subordinated debt securities may receive Capital Stock in us and any debt securities that are subordinated to Senior Indebtedness to at least the same extent as the subordinated debt securities.</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we do not pay any principal, premium, if any, or interest with respect to Senior Indebtedness within any applicable grace period (including at maturity), or any other default on Senior Indebtedness occurs and the maturity of the Senior Indebtedness is accelerated in accordance with its terms, we may not:</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of principal, premium, if any, or interest with respect to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deposit for the purpose of defeasance or discharge of the subordinated debt securities;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312" w:lineRule="auto"/>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 redeem or otherwise retire any subordinated debt securities, except that in the case of subordinated debt securities that provide for a mandatory sinking fund, we may deliver subordinated debt securities to the trustee in satisfaction of our sinking fund obligation,</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in either case:</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has been cured or waived and any declaration or acceleration has been rescinded;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Indebtedness has been paid in full in cash; or</w:t>
      </w:r>
    </w:p>
    <w:p>
      <w:pPr>
        <w:spacing w:after="0" w:line="130"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receive written notice approving the payment from the representatives of each issue of “Designated Senior Indebtedness.”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Generally, “Designated Senior Indebtedness” will include:</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issue of Senior Indebtedness of at least $100 million; and</w:t>
      </w:r>
    </w:p>
    <w:p>
      <w:pPr>
        <w:spacing w:after="0" w:line="130" w:lineRule="exact"/>
        <w:rPr>
          <w:rFonts w:ascii="Times New Roman" w:cs="Times New Roman" w:eastAsia="Times New Roman" w:hAnsi="Times New Roman"/>
          <w:sz w:val="18"/>
          <w:szCs w:val="18"/>
          <w:color w:val="auto"/>
        </w:rPr>
      </w:pPr>
    </w:p>
    <w:p>
      <w:pPr>
        <w:ind w:left="5540" w:right="2220" w:hanging="4884"/>
        <w:spacing w:after="0" w:line="454" w:lineRule="auto"/>
        <w:tabs>
          <w:tab w:leader="none" w:pos="10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Senior Indebtedness that we may designate in respect of any series of subordinated debt securities. 18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During the continuance of any default, other than a default described in the immediately preceding paragraph, that may cause the maturity of any Designated Senior Indebtedness to be accelerated immediately without further notice, other than any notice required to effect such acceleration, or the expiration of any applicable grace periods, we may not pay the subordinated debt securities for a period called the “Payment Blockage Period.” A Payment Blockage Period will commence on the receipt by us and the trustee of written notice of the default, called a “Blockage Notice,” from the representative of any Designated Senior Indebtedness specifying an election to effect a Payment Blockage Period and will end 179 days thereafter.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Payment Blockage Period may be terminated before its expiration:</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person or persons who gave the Blockage Notice;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repayment in full in cash of the Designated Senior Indebtedness with respect to which the Blockage Notice was given;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default giving rise to the Payment Blockage Period is no longer continuing.</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Unless the holders of the Designated Senior Indebtedness have accelerated the maturity of the Designated Senior Indebtedness, we may resume payments on the subordinated debt securities after the expiration of the Payment Blockage Period.</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Generally, not more than one Blockage Notice may be given in any period of 360 consecutive days. The total number of days during which any one or more Payment Blockage Periods are in effect, however, may not exceed an aggregate of 179 days during any period of 360 consecutive days.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After all Senior Indebtedness is paid in full and until the subordinated debt securities are paid in full, holders of the subordinated debt securities shall be subrogated to the rights of holders of Senior Indebtedness to receive distributions applicable to Senior Indebtedness.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As a result of the subordination provisions described above, in the event of insolvency, the holders of Senior Indebtedness, as well as certain of our general creditors, may recover more, ratably, than the holders of the subordinated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820" w:hanging="264"/>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25"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36"/>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w:t>
      </w:r>
    </w:p>
    <w:p>
      <w:pPr>
        <w:spacing w:after="0" w:line="160" w:lineRule="exact"/>
        <w:rPr>
          <w:sz w:val="20"/>
          <w:szCs w:val="20"/>
          <w:color w:val="auto"/>
        </w:rPr>
      </w:pPr>
    </w:p>
    <w:p>
      <w:pPr>
        <w:ind w:left="120" w:right="6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of us and our consolidated subsidiaries after deducting therefrom:</w:t>
      </w:r>
    </w:p>
    <w:p>
      <w:pPr>
        <w:spacing w:after="0" w:line="160" w:lineRule="exact"/>
        <w:rPr>
          <w:sz w:val="20"/>
          <w:szCs w:val="20"/>
          <w:color w:val="auto"/>
        </w:rPr>
      </w:pPr>
    </w:p>
    <w:p>
      <w:pPr>
        <w:ind w:left="120" w:firstLine="436"/>
        <w:spacing w:after="0" w:line="282"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(A) any current liabilities that by their terms are extendable or renewable at the option of the obligor thereon to a time more than twelve months after the time as of which the amount thereof is being computed and (B) current maturities of long-term debt); and</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(net of any applicable reserves) of all goodwill, trade names, trademarks, patents and other like intangible assets, all as set forth, or on a pro forma basis would be set forth, on our consolidated balance sheet and our consolidated subsidiaries for our most recently completed fiscal quarter for which financial statements have been filed with the SEC, prepared in accordance with generally accepted accounting principles.</w:t>
      </w:r>
    </w:p>
    <w:p>
      <w:pPr>
        <w:spacing w:after="0" w:line="17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means that certain Credit Agreement, dated as of February 17, 2022, among the Company, Bank of America, N.A., as the administrative agent, collateral agent and swing line lender and the other agents and lenders party thereto, as the same may be further amended, restated, refinanced, replaced, renewed, refunded or otherwise modified, in whole or in part, from time to time.</w:t>
      </w:r>
    </w:p>
    <w:p>
      <w:pPr>
        <w:spacing w:after="0" w:line="173" w:lineRule="exact"/>
        <w:rPr>
          <w:sz w:val="20"/>
          <w:szCs w:val="20"/>
          <w:color w:val="auto"/>
        </w:rPr>
      </w:pPr>
    </w:p>
    <w:p>
      <w:pPr>
        <w:ind w:left="120" w:right="5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of any Person at any date means any obligation created or assumed by such person for the repayment of borrowed money or any guaranty thereof.</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means any Person that is not a direct or indirect subsidiary of ours in which we or any of our subsidiaries owns Capital Stock.</w:t>
      </w:r>
    </w:p>
    <w:p>
      <w:pPr>
        <w:spacing w:after="0" w:line="225"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Indebtedness</w:t>
      </w:r>
      <w:r>
        <w:rPr>
          <w:rFonts w:ascii="Times New Roman" w:cs="Times New Roman" w:eastAsia="Times New Roman" w:hAnsi="Times New Roman"/>
          <w:sz w:val="18"/>
          <w:szCs w:val="18"/>
          <w:color w:val="auto"/>
        </w:rPr>
        <w:t>” means any Indebtedness incurred by any Joint Venture or Non-Recourse Subsidiary which does not provide for recourse against us or any subsidiary of ours (other than a Non-Recourse Subsidiary) or any property or asset of ours or any subsidiary of ours (other than the Capital Stock or the properties or assets of a Joint Venture or Non-Recourse Subsidiary).</w:t>
      </w:r>
    </w:p>
    <w:p>
      <w:pPr>
        <w:spacing w:after="0" w:line="17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Subsidiary</w:t>
      </w:r>
      <w:r>
        <w:rPr>
          <w:rFonts w:ascii="Times New Roman" w:cs="Times New Roman" w:eastAsia="Times New Roman" w:hAnsi="Times New Roman"/>
          <w:sz w:val="18"/>
          <w:szCs w:val="18"/>
          <w:color w:val="auto"/>
        </w:rPr>
        <w:t>” means any subsidiary of ours (i) whose principal purpose is to incur Non-Recourse Indebtedness and/or construct, lease, own or operate the assets financed in whole or in part thereby, or to become a direct or indirect partner, member or other equity participant or owner in a partnership, limited partnership, limited liability partnership, corporation (including a business trust), limited liability company, unlimited liability company, joint stock company, trust, unincorporated association or joint venture created for such purpose (collectively, a “Business Entity”), (ii) who is not an obligor or otherwise bound with respect to any Indebtedness other than Non-Recourse Indebtedness, (iii) the majority of the assets of which subsidiary or Business Entity are limited to (x) those assets being financed (or to be financed), or the operation of which is being financed (or to be financed), in whole or in part by Non-Recourse Indebtedness, (y) Capital Stock in, or Indebtedness or other obligations of, one or more other Non-Recourse Subsidiaries or Business Entities or (z) other assets reasonably related thereto and (iv) any subsidiary of a Non-Recourse Subsidiary; provided that such subsidiary shall be considered to be a Non-Recourse Subsidiary only to the extent that and for so long as each of the above requirements are met.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820" w:hanging="264"/>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225" w:lineRule="exact"/>
        <w:rPr>
          <w:rFonts w:ascii="Times New Roman" w:cs="Times New Roman" w:eastAsia="Times New Roman" w:hAnsi="Times New Roman"/>
          <w:sz w:val="18"/>
          <w:szCs w:val="18"/>
          <w:color w:val="auto"/>
        </w:rPr>
      </w:pPr>
    </w:p>
    <w:p>
      <w:pPr>
        <w:ind w:left="120" w:firstLine="436"/>
        <w:spacing w:after="0" w:line="261"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incurred in the ordinary course of business and encumbrances consisting of zoning restrictions, easements, licenses, restrictions on the use of real property or minor imperfections in title thereto and which do not in the aggregate materially adversely affect the value of the properties encumbered thereby or materially impair their use in the operation of the business of us and our subsidiaries;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36"/>
        <w:spacing w:after="0" w:line="282"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reserved to or vested by any provision of law in any municipality or public authority to control or regulate any of the properties of us or any subsidiary or the use thereof or the rights and interests of us or any subsidiary therein, in any manner under any and all laws;</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reserved to the grantors of any properties of us or any subsidiary, and the restrictions, conditions, restrictive covenants and limitations, in respect thereto, pursuant to the terms, conditions and provisions of any rights-of-way agreements, contracts or other agreements therewith;</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more than sixty (60) days past due or which is being contested in good faith by appropriate processes or proceedings and any undetermined lien which is incidental to construction, development, improvement or repair;</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reserved to, or vested in, any municipality or public authority by the terms of any right, power, franchise, grant, license, permit or by any provision of law, to purchase or recapture or to designate a purchaser of, any property;</w:t>
      </w:r>
    </w:p>
    <w:p>
      <w:pPr>
        <w:spacing w:after="0" w:line="161"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and assessments which are (a) for the then current year, (b) not at the time delinquent, or (c) delinquent but the validity or amount of which is being contested at the time by us or any of our subsidiaries in good faith by appropriate processes or proceedings;</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us or any subsidiary;</w:t>
      </w:r>
    </w:p>
    <w:p>
      <w:pPr>
        <w:spacing w:after="0" w:line="225"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9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debt securities, any lien upon any property or assets of us or any subsidiary in existence on the date of the initial issuance of the debt securities;</w:t>
      </w:r>
    </w:p>
    <w:p>
      <w:pPr>
        <w:spacing w:after="0" w:line="161" w:lineRule="exact"/>
        <w:rPr>
          <w:rFonts w:ascii="Times New Roman" w:cs="Times New Roman" w:eastAsia="Times New Roman" w:hAnsi="Times New Roman"/>
          <w:sz w:val="18"/>
          <w:szCs w:val="18"/>
          <w:color w:val="auto"/>
        </w:rPr>
      </w:pPr>
    </w:p>
    <w:p>
      <w:pPr>
        <w:ind w:left="120" w:right="540" w:firstLine="436"/>
        <w:spacing w:after="0" w:line="312" w:lineRule="auto"/>
        <w:tabs>
          <w:tab w:leader="none" w:pos="89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incurred in the ordinary course of business in connection with workmen’s compensation, unemployment insurance, temporary disability, social security, retiree health or similar laws or regulations or to secure obligations imposed by statute or governmental regulations;</w:t>
      </w:r>
    </w:p>
    <w:p>
      <w:pPr>
        <w:spacing w:after="0" w:line="139" w:lineRule="exact"/>
        <w:rPr>
          <w:rFonts w:ascii="Times New Roman" w:cs="Times New Roman" w:eastAsia="Times New Roman" w:hAnsi="Times New Roman"/>
          <w:sz w:val="17"/>
          <w:szCs w:val="17"/>
          <w:color w:val="auto"/>
        </w:rPr>
      </w:pPr>
    </w:p>
    <w:p>
      <w:pPr>
        <w:ind w:left="120" w:right="520" w:firstLine="436"/>
        <w:spacing w:after="0" w:line="261" w:lineRule="auto"/>
        <w:tabs>
          <w:tab w:leader="none" w:pos="9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provisions of any letters of credit, bank guarantees, bonds or surety obligations required or requested by any governmental authority in connection with any contract or statute, provided that such obligations do not constitute Indebtedness; or any lien upon or deposits of any assets to secure performance of bids, trade contracts, leases or statutory obligations, and other obligations of a like nature incurred in the ordinary course of business;</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9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us or any of our subsidiaries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75" w:lineRule="exact"/>
        <w:rPr>
          <w:rFonts w:ascii="Times New Roman" w:cs="Times New Roman" w:eastAsia="Times New Roman" w:hAnsi="Times New Roman"/>
          <w:sz w:val="18"/>
          <w:szCs w:val="18"/>
          <w:color w:val="auto"/>
        </w:rPr>
      </w:pPr>
    </w:p>
    <w:p>
      <w:pPr>
        <w:ind w:left="120" w:firstLine="436"/>
        <w:spacing w:after="0" w:line="266" w:lineRule="auto"/>
        <w:tabs>
          <w:tab w:leader="none" w:pos="9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Indebtedness incurred prior to, at the time of, or within one year after completion of such construction, development, repair or improvements or the commencement of full operations thereof (whichever is later), to provide funds for any such purpose;</w:t>
      </w:r>
    </w:p>
    <w:p>
      <w:pPr>
        <w:spacing w:after="0" w:line="175" w:lineRule="exact"/>
        <w:rPr>
          <w:rFonts w:ascii="Times New Roman" w:cs="Times New Roman" w:eastAsia="Times New Roman" w:hAnsi="Times New Roman"/>
          <w:sz w:val="18"/>
          <w:szCs w:val="18"/>
          <w:color w:val="auto"/>
        </w:rPr>
      </w:pPr>
    </w:p>
    <w:p>
      <w:pPr>
        <w:ind w:left="120" w:firstLine="436"/>
        <w:spacing w:after="0" w:line="266" w:lineRule="auto"/>
        <w:tabs>
          <w:tab w:leader="none" w:pos="9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us or any of our subsidiaries and any lien upon any property or assets of a person existing thereon at the time such person becomes a subsidiary of us by acquisition, merger or otherwise; provided that, in each case, such lien only encumbers the property or assets so acquired or owned by such person at the time such person becomes a subsidiary;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312" w:lineRule="auto"/>
        <w:tabs>
          <w:tab w:leader="none" w:pos="90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imposed by law or order as a result of any proceeding before any court or regulatory body that is being contested in good faith, and liens which secure a judgment or other court-ordered award or settlement as to which we or the applicable subsidiary has not exhausted its appellate rights;</w:t>
      </w:r>
    </w:p>
    <w:p>
      <w:pPr>
        <w:spacing w:after="0" w:line="139" w:lineRule="exact"/>
        <w:rPr>
          <w:rFonts w:ascii="Times New Roman" w:cs="Times New Roman" w:eastAsia="Times New Roman" w:hAnsi="Times New Roman"/>
          <w:sz w:val="17"/>
          <w:szCs w:val="17"/>
          <w:color w:val="auto"/>
        </w:rPr>
      </w:pPr>
    </w:p>
    <w:p>
      <w:pPr>
        <w:ind w:left="120" w:firstLine="436"/>
        <w:spacing w:after="0" w:line="256" w:lineRule="auto"/>
        <w:tabs>
          <w:tab w:leader="none" w:pos="9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 refunding or replacements) of liens, in whole or in part, referred to in clauses (1) through (16)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us or our subsidiaries (including any premium) incurred in connection with such extension, renewal, refinancing, refunding or replacement;</w:t>
      </w:r>
    </w:p>
    <w:p>
      <w:pPr>
        <w:spacing w:after="0" w:line="187"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property or assets, or pledges of Capital Stock, of (a) any Joint Venture owned by us or any subsidiary of ours or (b)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Non-Recourse Subsidiary, in each case only to the extent securing Non-Recourse Indebtedness of such Joint Venture or Non-Recourse Subsidiary; and</w:t>
      </w:r>
    </w:p>
    <w:p>
      <w:pPr>
        <w:spacing w:after="0" w:line="207" w:lineRule="exact"/>
        <w:rPr>
          <w:sz w:val="20"/>
          <w:szCs w:val="20"/>
          <w:color w:val="auto"/>
        </w:rPr>
      </w:pPr>
    </w:p>
    <w:p>
      <w:pPr>
        <w:ind w:left="120" w:right="180" w:firstLine="436"/>
        <w:spacing w:after="0" w:line="282" w:lineRule="auto"/>
        <w:tabs>
          <w:tab w:leader="none" w:pos="9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Indebtedness of us or any of our subsidiaries.</w:t>
      </w:r>
    </w:p>
    <w:p>
      <w:pPr>
        <w:spacing w:after="0" w:line="160" w:lineRule="exact"/>
        <w:rPr>
          <w:sz w:val="20"/>
          <w:szCs w:val="20"/>
          <w:color w:val="auto"/>
        </w:rPr>
      </w:pPr>
    </w:p>
    <w:p>
      <w:pPr>
        <w:ind w:left="12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any individual, corporation, partnership, limited liability company, joint venture, incorporated or unincorporated association, joint stock company, trust, unincorporated organization or government or other agency, instrumentality or political subdivision thereof or other entity of any kind.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whether owned or leased on the date of the initial issuance of the debt securities or thereafter acquired:</w:t>
      </w:r>
    </w:p>
    <w:p>
      <w:pPr>
        <w:spacing w:after="0" w:line="227" w:lineRule="exact"/>
        <w:rPr>
          <w:sz w:val="20"/>
          <w:szCs w:val="20"/>
          <w:color w:val="auto"/>
        </w:rPr>
      </w:pPr>
    </w:p>
    <w:p>
      <w:pPr>
        <w:ind w:left="120" w:right="20" w:firstLine="436"/>
        <w:spacing w:after="0" w:line="266"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pipeline assets of us or any of our subsidiaries, including any related facilities employed in the gathering, transportation, distribution, storage or marketing of natural gas, refined petroleum products, natural gas liquids and petrochemicals, that are located in the United States of America; and</w:t>
      </w:r>
    </w:p>
    <w:p>
      <w:pPr>
        <w:spacing w:after="0" w:line="175" w:lineRule="exact"/>
        <w:rPr>
          <w:rFonts w:ascii="Times New Roman" w:cs="Times New Roman" w:eastAsia="Times New Roman" w:hAnsi="Times New Roman"/>
          <w:sz w:val="18"/>
          <w:szCs w:val="18"/>
          <w:color w:val="auto"/>
        </w:rPr>
      </w:pPr>
    </w:p>
    <w:p>
      <w:pPr>
        <w:ind w:left="120" w:right="320" w:firstLine="436"/>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compression, treating, blending or manufacturing plant or terminal owned or leased by us or any of our subsidiaries that is located in the United States, except in the case of either of the preceding clause (1) or this clause (2):</w:t>
      </w:r>
    </w:p>
    <w:p>
      <w:pPr>
        <w:spacing w:after="0" w:line="54" w:lineRule="exact"/>
        <w:rPr>
          <w:sz w:val="20"/>
          <w:szCs w:val="20"/>
          <w:color w:val="auto"/>
        </w:rPr>
      </w:pPr>
    </w:p>
    <w:p>
      <w:pPr>
        <w:ind w:left="560" w:right="660" w:hanging="4"/>
        <w:spacing w:after="0" w:line="282" w:lineRule="auto"/>
        <w:tabs>
          <w:tab w:leader="none" w:pos="8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assets consisting of inventories, furniture, office fixtures and equipment (including data processing equipment), vehicles and equipment used on, or useful with, vehicles; and</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assets which, in our good faith opinion, are not material in relation to the activities of us and our subsidiaries taken as a whole.</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owning or leasing, directly or indirectly through ownership in another subsidiary, any Principal Property.</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any corporation, association or business entity of which more than 50% of the total voting power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entitled (without regard to the occurrence of any contingency) to vote in the election of directors, managers, or trustees thereof or any partnership of which more than 50% of the partners’ equity interests (considering all partners’ equity interests as a single class) is, in each case, at the time owned or controlled, directly or indirectly, by such Person or one or more subsidiaries of such Person or combination thereof.</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following summary of our common stock, preferred stock, amended and restated certificate of incorporation, as amended (the “amended and restated certificate of incorporation”), and third amended and restated bylaws (the “amended and restated bylaws”) does not purport to be complete and is qualified in its entirety by reference to the provisions of applicable law and to our amended and restated certificate of incorporation, and amended and restated bylaws, which are filed as exhibits to the registration statement of which this prospectus is a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authorized common stock of Targa Resources Corp. consists of 450,000,000 shares, par value $0.001 per share.</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Except as provided by law or in a preferred stock designation, holders of common stock are entitled to one vote for each share held of record on all matters submitted to a vote of the stockholders, have the exclusive right to vote for the election of directors and do not have cumulative voting rights. Except as otherwise required by law, holders of common stock, as such,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General Corporation Law of the State of Delaware (the “DGCL”). Subject to preferences that may be applicable to any outstanding shares or series of preferred stock, holders of common stock are entitled to receive ratably such dividends (payable in cash, stock or otherwise), if any, as may be declared from time to time by our board of directors out of funds legally available for dividend payments. All outstanding shares of common stock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authorized preferred stock of Targa Resources Corp. consists of 100,000,000 shares, par value $0.001 per share, of which no shares are outstanding as of the date of this Registration Statement.</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subject to any limitations prescribed by law, without further stockholder approval, to establish and to issue from time to time one or more classes or series of preferred stock. Each class or series of preferred stock will cover the number of shares and will have the powers, preferences, rights, qualifications, limitations and restrictions determined by the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w:t>
      </w:r>
    </w:p>
    <w:p>
      <w:pPr>
        <w:spacing w:after="0" w:line="187"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The certificate of designations governing the Series A Preferred Stock (the “Series A Preferred Stock”) provides the holders of the Series A Preferred Stock with the right to vote, under certain conditions, on an as-converted basis with our common stockholders on matters submitted to a stockholder vote. So long as any Series A Preferred Stock is outstanding, subject to certain exceptions, the affirmative vote or consent of the holders of at least a majority of the outstanding Series A Preferred Stock, voting together as a separate class, will be necessary for effecting or validating, among other things: (i) any issuance of stock senior to the Series A Preferred Stock; (ii) any issuance, authorization or creation of, or any increase by any of our consolidated subsidiaries of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or authorized amount of, any specific class or series of securities; (iii) any issuance by us of parity stock, subject to certain exceptions; and</w:t>
      </w:r>
    </w:p>
    <w:p>
      <w:pPr>
        <w:spacing w:after="0" w:line="27" w:lineRule="exact"/>
        <w:rPr>
          <w:sz w:val="20"/>
          <w:szCs w:val="20"/>
          <w:color w:val="auto"/>
        </w:rPr>
      </w:pPr>
    </w:p>
    <w:p>
      <w:pPr>
        <w:ind w:left="420" w:hanging="304"/>
        <w:spacing w:after="0"/>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incurrence of indebtedness by us and our consolidated subsidiaries for borrowed monies, other than under the Credit Agreement and a credit</w:t>
      </w:r>
    </w:p>
    <w:p>
      <w:pPr>
        <w:spacing w:after="0" w:line="9" w:lineRule="exact"/>
        <w:rPr>
          <w:rFonts w:ascii="Times New Roman" w:cs="Times New Roman" w:eastAsia="Times New Roman" w:hAnsi="Times New Roman"/>
          <w:sz w:val="18"/>
          <w:szCs w:val="18"/>
          <w:color w:val="auto"/>
        </w:rPr>
      </w:pPr>
    </w:p>
    <w:p>
      <w:pPr>
        <w:ind w:lef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at Targa Resources Partners LP (or replacement commercial bank credit facilities) in an aggregate amount up to $2.75 billion, or indebtedness that complies with a specified fixed charge coverage ratio.</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Our Amended and Restated Certificate of Incorporation, Our Amended and Restated Bylaws and Delaware Law</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amended and restated certificate of incorporation and our amended and restated bylaws described below, contain provisions that could make the following transactions more difficult: acquisitions of us by means of a tender offer, a proxy contest or otherwise and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80"/>
        <w:spacing w:after="0" w:line="281" w:lineRule="auto"/>
        <w:rPr>
          <w:sz w:val="20"/>
          <w:szCs w:val="20"/>
          <w:color w:val="auto"/>
        </w:rPr>
      </w:pPr>
      <w:r>
        <w:rPr>
          <w:rFonts w:ascii="Times New Roman" w:cs="Times New Roman" w:eastAsia="Times New Roman" w:hAnsi="Times New Roman"/>
          <w:sz w:val="17"/>
          <w:szCs w:val="17"/>
          <w:color w:val="auto"/>
        </w:rPr>
        <w:t>These provisions, summarized below,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Pursuant to our amended and restated certificate of incorporation, we are subject to the provisions of Section 203 of the DGCL. In general, those provisions prohibit a Delaware corporation, including those whose securities are listed for trading on the NYSE, from engaging in any business combination with any interested stockholder for a period of three years following the date that the stockholder became an interested stockholder, unless:</w:t>
      </w:r>
    </w:p>
    <w:p>
      <w:pPr>
        <w:spacing w:after="0" w:line="63"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time as such person becomes an interested stockholder, the business combination is approved by the board of directors and authorized at a meeting of stockholders by at least two-thirds of the outstanding voting stock that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 one or a series of transactions) of 10% or more of the assets of the corporation involving the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directly or indirectly, of any loans, advances, guarantees, pledges or other financial benefits provided by or through the 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108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advance notice procedures with regard to stockholder proposals relating to the nomination of candidates for election as directors or new business to be brought before meetings of our stockholders, which may preclude our stockholders from bringing matters before our stockholders at an annual or special meeting;</w:t>
      </w:r>
    </w:p>
    <w:p>
      <w:pPr>
        <w:spacing w:after="0" w:line="81" w:lineRule="exact"/>
        <w:rPr>
          <w:rFonts w:ascii="Times New Roman" w:cs="Times New Roman" w:eastAsia="Times New Roman" w:hAnsi="Times New Roman"/>
          <w:sz w:val="18"/>
          <w:szCs w:val="18"/>
          <w:color w:val="auto"/>
        </w:rPr>
      </w:pPr>
    </w:p>
    <w:p>
      <w:pPr>
        <w:ind w:left="1540" w:right="660" w:hanging="331"/>
        <w:spacing w:after="0" w:line="282"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procedures provide that notice of stockholder proposals must be timely given in writing and received by our corporate secretary prior to the meeting at which the action is to be taken;</w:t>
      </w:r>
    </w:p>
    <w:p>
      <w:pPr>
        <w:spacing w:after="0" w:line="67"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be timely, notice must be received at our principal executive offices not less than 90 days nor more than 120 days prior to the first anniversary date of the annual meeting for the preceding year;</w:t>
      </w:r>
    </w:p>
    <w:p>
      <w:pPr>
        <w:spacing w:after="0" w:line="67" w:lineRule="exact"/>
        <w:rPr>
          <w:rFonts w:ascii="Times New Roman" w:cs="Times New Roman" w:eastAsia="Times New Roman" w:hAnsi="Times New Roman"/>
          <w:sz w:val="18"/>
          <w:szCs w:val="18"/>
          <w:color w:val="auto"/>
        </w:rPr>
      </w:pPr>
    </w:p>
    <w:p>
      <w:pPr>
        <w:ind w:left="1540" w:right="100" w:hanging="331"/>
        <w:spacing w:after="0" w:line="266"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must set forth specific information regarding the stockholder and the proposal or director nominee, as described in our amended and restated bylaws (which requirements are in addition to those set forth in the regulations adopted by the SEC under the Exchange Act);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stockholder or group of up to 20 stockholders (with funds having specified relationships constituting a single stockholder), owning 3% or more of our common stock continuously for at least three years, may nominate and include in our proxy materials director nominees constituting up to 20% of the board of directors (rounded down to the nearest whole number), provided that the nominating stockholder(s) and the nominee(s) have satisfied the requirements specified in our amended and restated bylaws and subject to the other terms and conditions set forth in our amended and restated bylaws;</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shall be divided into three classes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by the affirmative vote of holders of at least a majority of the voting power of our then outstanding common stock;</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amended and restated certificate of incorporation and amended and restated bylaws may be amended by the affirmative vote of the holders of at least 66 2/3% of our then outstanding common stock;</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only be called at the request in writing by a majority of our board of directors, by our chief executive officer or by the chairman of the board;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amended and restated bylaws can be amended or repealed by our board of directors or our stockholders.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liability of our directors for monetary damages for breach of their fiduciary duty as directors, except for the following liabilities that cannot be eliminated under the DGCL:</w:t>
      </w:r>
    </w:p>
    <w:p>
      <w:pPr>
        <w:spacing w:after="0" w:line="67"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unlawful payment of dividends or an unlawful stock purchase or redemption, as provided under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6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the DGCL. Our amended and restated bylaws also permit us to purchase insurance on behalf of any of our officers, directors, employees or agents or any person who is or was serving at our request as an officer, director, employee or agent of another enterprise for any expense, liability or loss asserted against such person and incurred by any such person in any such capacity, or arising out of that person’s status as such, regardless of whether the DGCL would permit indemnification.</w:t>
      </w:r>
    </w:p>
    <w:p>
      <w:pPr>
        <w:spacing w:after="0" w:line="18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 agreements provide that we will indemnify and hold harmless each indemnitee for certain expenses to the fullest extent permitted or authorized by law, including the DGCL, in effect on the date of the agreement or as it may be amended to provide more advantageous rights to the indemnitee. If such indemnification is unavailable as a result of a court decision and if we and the indemnitee are jointly liable in the proceeding, we will contribute funds to the indemnitee for his expenses in proportion to relative benefit and fault of us and the indemnitee in the transaction giving rise to the proceeding. The indemnification agreements also provide that we will indemnify the indemnitee for monetary damages for actions taken as our director or officer or for serving at our request as a director or officer or another position at another corporation or enterprise, as the case may be but only if (i) the indemnitee acted in good faith and, in the case of conduct in his official capacity, in a manner he reasonably believed to be in our best interests and, in all other cases, not opposed to our best interests and (ii) in the case of a criminal proceeding, the indemnitee must have had no reasonable cause to believe that his conduct was unlawful. The indemnification agreements also provide that we must advance payment of certain expenses to the indemnitee, including fees of counsel, subject to receipt of an undertaking from the indemnitee to return such advance if it is ultimately determined that the indemnitee is not entitled to indemnification.</w:t>
      </w:r>
    </w:p>
    <w:p>
      <w:pPr>
        <w:spacing w:after="0" w:line="19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believe that the limitation of liability provision in our amended and restated certificate of incorporation, our amended and restated bylaws and the indemnification agreements will facilitate our ability to continue to attract and retain qualified individuals to serve as directors and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“TRGP.”</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offer depositary shares (either separately or together with other securities) representing fractional interests in our preferred stock of any series. In connection with the issuance of any depositary shares, we will enter into a depositary agreement with a bank or trust company, as depositary, which will be named in the applicable prospectus supplement. Depositary shares will be evidenced by depositary receipts issued pursuant to the related depositary agreement. If we elect to offer fractional interests in shares of preferred stock to the public, we will deposit the preferred stock with the relevant preferred stock depositary and will cause the preferred stock depositary to issue, on our behalf, the related depositary receipts. Subject to the terms of the depositary agreement, each owner of a depositary receipt will be entitled, in proportion to the fraction of a share of preferred stock represented by the related depositary share, to all the rights, preferences and privileges of, and will be subject to all of the limitations and restrictions on, the preferred stock represented by the depositary receipt (including, if applicable, dividend, voting, conversion, exchange redemption and liquidation rights).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our common stock. Warrants may be issued independently or together with our debt securities, preferred stock or common stock offered by any prospectus supplement and may be attached to or separate from any such offered securities. Each series of warrants will be issued under a separate warrant agreement to be entered into between us and a bank or trust company, as warrant agent, all as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following summary of certain provisions of the warrants does not purport to be complete and is subject to, and is qualified in its entirety by reference to, all provisions of the warrant agreements.</w:t>
      </w:r>
    </w:p>
    <w:p>
      <w:pPr>
        <w:spacing w:after="0" w:line="18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a particular issue of warrants for the terms of and information relating to the warrants, including, where applicable:</w:t>
      </w:r>
    </w:p>
    <w:p>
      <w:pPr>
        <w:spacing w:after="0" w:line="67" w:lineRule="exact"/>
        <w:rPr>
          <w:sz w:val="20"/>
          <w:szCs w:val="20"/>
          <w:color w:val="auto"/>
        </w:rPr>
      </w:pPr>
    </w:p>
    <w:p>
      <w:pPr>
        <w:ind w:left="540" w:right="60" w:hanging="424"/>
        <w:spacing w:after="0" w:line="282"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purchasable upon exercise of the warrants and the price at which such number of shares of common stock may be purchased upon exercise of the warrants;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commences and the date on which such right expires (the “Expiration Date”);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warrants outstanding as of the most recent practicable date;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Warrants will be offered and exercisable for United States dollars only. Warrants will be issued in registered form only. Each warrant will entitle its holder to purchase such number of shares of common stock at such exercise price as is in each case set forth in, or calculable from, the prospectus supplement relating to the warrants. The exercise price may be subject to adjustment upon the occurrence of events described in such prospectus supplement. After the close of business on the Expiration Date (or such later date to which we may extend such Expiration Date), unexercised warrants will become void. The place or places where, and the manner in which, warrants may be exercised will be specified in the prospectus supplement relating to such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Prior to the exercise of any warrants, holders of the warrants will not have any of the rights of holders of common stock, including the right to receive payments of any dividends on the common stock purchasable upon exercise of the warrants, or to exercise any applicable right to vote.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5" w:right="5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131"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dealers or agents;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 who may act as agent or may purchase securities as principal and thereafter resell the securities as principal from time to time;</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subsequent resale by such broker or dealer for its own account pursuant to this prospectus;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fix a price of our securities or will price our securities at:</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then-current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 Broker-dealers may act as agents or may purchase securities as principal and thereafter resell the securities from time to time:</w:t>
      </w:r>
    </w:p>
    <w:p>
      <w:pPr>
        <w:spacing w:after="0" w:line="67"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 transactions and block trades) or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NYSE;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w:t>
      </w:r>
    </w:p>
    <w:p>
      <w:pPr>
        <w:spacing w:after="0" w:line="225"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80"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prospectus supplement with respect to any offering of securities will set forth the terms of the offering, including: (i) the name or names of any underwriters; (ii) the purchase price of the securities and the proceeds to us from the sale; (iii) any underwriting discounts and commissions and other items constituting underwriters’ compensation; (iv) any delayed delivery arrangements; and (v) other important information.</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we use underwriters, we will enter into an underwriting agreement with such underwriters at the time of sale to them. We will set forth the names of these underwriters and the terms of the transaction in the prospectus supplement, which will be used by the underwriters to make resales of the securities in respect of which this prospectus is delivered to the public. We may indemnify underwriters, brokers, dealers and agents against specific liabilities, including liabilities under the Securities Act. Any underwriters, brokers, dealers and agents who participate in any sale of the securities may also engage in transactions with, or perform services for, us or our affiliates in the ordinary course of their businesses.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securities will be passed upon by Vinson &amp; Elkins L.L.P., Houston, Texas, as our counsel. Any underwriter or agent will be advised about other issues relating to any offering by its own legal counsel.</w:t>
      </w: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320" w:top="455" w:right="5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645795</wp:posOffset>
            </wp:positionV>
            <wp:extent cx="2040255" cy="574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20402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Targa Resources Corp.</w:t>
      </w:r>
    </w:p>
    <w:p>
      <w:pPr>
        <w:spacing w:after="0" w:line="2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                   % Senior Notes due 2029</w:t>
      </w:r>
    </w:p>
    <w:p>
      <w:pPr>
        <w:spacing w:after="0" w:line="2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                   %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1678940</wp:posOffset>
            </wp:positionV>
            <wp:extent cx="1474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41" w:lineRule="exact"/>
        <w:rPr>
          <w:sz w:val="20"/>
          <w:szCs w:val="20"/>
          <w:color w:val="auto"/>
        </w:rPr>
      </w:pPr>
    </w:p>
    <w:p>
      <w:pPr>
        <w:ind w:left="120"/>
        <w:spacing w:after="0"/>
        <w:tabs>
          <w:tab w:leader="none" w:pos="3200" w:val="left"/>
          <w:tab w:leader="none" w:pos="5700" w:val="left"/>
          <w:tab w:leader="none" w:pos="9600" w:val="left"/>
        </w:tabs>
        <w:rPr>
          <w:sz w:val="20"/>
          <w:szCs w:val="20"/>
          <w:color w:val="auto"/>
        </w:rPr>
      </w:pPr>
      <w:r>
        <w:rPr>
          <w:rFonts w:ascii="Times New Roman" w:cs="Times New Roman" w:eastAsia="Times New Roman" w:hAnsi="Times New Roman"/>
          <w:sz w:val="22"/>
          <w:szCs w:val="22"/>
          <w:b w:val="1"/>
          <w:bCs w:val="1"/>
          <w:color w:val="auto"/>
        </w:rPr>
        <w:t>BofA Securities</w:t>
      </w:r>
      <w:r>
        <w:rPr>
          <w:sz w:val="20"/>
          <w:szCs w:val="20"/>
          <w:color w:val="auto"/>
        </w:rPr>
        <w:tab/>
      </w:r>
      <w:r>
        <w:rPr>
          <w:rFonts w:ascii="Times New Roman" w:cs="Times New Roman" w:eastAsia="Times New Roman" w:hAnsi="Times New Roman"/>
          <w:sz w:val="22"/>
          <w:szCs w:val="22"/>
          <w:b w:val="1"/>
          <w:bCs w:val="1"/>
          <w:color w:val="auto"/>
        </w:rPr>
        <w:t>Citigroup</w:t>
      </w:r>
      <w:r>
        <w:rPr>
          <w:sz w:val="20"/>
          <w:szCs w:val="20"/>
          <w:color w:val="auto"/>
        </w:rPr>
        <w:tab/>
      </w:r>
      <w:r>
        <w:rPr>
          <w:rFonts w:ascii="Times New Roman" w:cs="Times New Roman" w:eastAsia="Times New Roman" w:hAnsi="Times New Roman"/>
          <w:sz w:val="22"/>
          <w:szCs w:val="22"/>
          <w:b w:val="1"/>
          <w:bCs w:val="1"/>
          <w:color w:val="auto"/>
        </w:rPr>
        <w:t>RBC Capital Markets</w:t>
      </w:r>
      <w:r>
        <w:rPr>
          <w:sz w:val="20"/>
          <w:szCs w:val="20"/>
          <w:color w:val="auto"/>
        </w:rPr>
        <w:tab/>
      </w:r>
      <w:r>
        <w:rPr>
          <w:rFonts w:ascii="Times New Roman" w:cs="Times New Roman" w:eastAsia="Times New Roman" w:hAnsi="Times New Roman"/>
          <w:sz w:val="21"/>
          <w:szCs w:val="21"/>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1136650</wp:posOffset>
            </wp:positionV>
            <wp:extent cx="1474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lvl w:ilvl="1">
      <w:lvlJc w:val="left"/>
      <w:lvlText w:val="(%2)"/>
      <w:numFmt w:val="lowerLetter"/>
      <w:start w:val="2"/>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3"/>
    </w:lvl>
  </w:abstractNum>
  <w:abstractNum w:abstractNumId="30">
    <w:nsid w:val="4B588F54"/>
    <w:multiLevelType w:val="hybridMultilevel"/>
    <w:lvl w:ilvl="0">
      <w:lvlJc w:val="left"/>
      <w:lvlText w:val="•"/>
      <w:numFmt w:val="bullet"/>
      <w:start w:val="1"/>
    </w:lvl>
    <w:lvl w:ilvl="1">
      <w:lvlJc w:val="left"/>
      <w:lvlText w:val="•"/>
      <w:numFmt w:val="bullet"/>
      <w:start w:val="1"/>
    </w:lvl>
  </w:abstractNum>
  <w:abstractNum w:abstractNumId="31">
    <w:nsid w:val="542289EC"/>
    <w:multiLevelType w:val="hybridMultilevel"/>
    <w:lvl w:ilvl="0">
      <w:lvlJc w:val="left"/>
      <w:lvlText w:val="•"/>
      <w:numFmt w:val="bullet"/>
      <w:start w:val="1"/>
    </w:lvl>
    <w:lvl w:ilvl="1">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4"/>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3"/>
    </w:lvl>
  </w:abstractNum>
  <w:abstractNum w:abstractNumId="47">
    <w:nsid w:val="4F4EF005"/>
    <w:multiLevelType w:val="hybridMultilevel"/>
    <w:lvl w:ilvl="0">
      <w:lvlJc w:val="left"/>
      <w:lvlText w:val="(%1)"/>
      <w:numFmt w:val="decimal"/>
      <w:start w:val="16"/>
    </w:lvl>
  </w:abstractNum>
  <w:abstractNum w:abstractNumId="48">
    <w:nsid w:val="23F9C13C"/>
    <w:multiLevelType w:val="hybridMultilevel"/>
    <w:lvl w:ilvl="0">
      <w:lvlJc w:val="left"/>
      <w:lvlText w:val="(%1)"/>
      <w:numFmt w:val="decimal"/>
      <w:start w:val="19"/>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Roman"/>
      <w:start w:val="4"/>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lvl w:ilvl="1">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jpe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jpe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55" Type="http://schemas.openxmlformats.org/officeDocument/2006/relationships/hyperlink" Target="http://www.sec.gov/ix?doc=/Archives/edgar/data/1389170/000095017025023983/trgp-20241231.htm" TargetMode="External"/><Relationship Id="rId56" Type="http://schemas.openxmlformats.org/officeDocument/2006/relationships/hyperlink" Target="http://www.sec.gov/Archives/edgar/data/1389170/000119312525067062/d909508ddefa14a.htm" TargetMode="External"/><Relationship Id="rId57" Type="http://schemas.openxmlformats.org/officeDocument/2006/relationships/hyperlink" Target="http://www.sec.gov/ix?doc=/Archives/edgar/data/1389170/000095017025061595/trgp-20250331.htm" TargetMode="External"/><Relationship Id="rId58" Type="http://schemas.openxmlformats.org/officeDocument/2006/relationships/hyperlink" Target="http://www.sec.gov/ix?doc=/Archives/edgar/data/1389170/000119312525175239/trgp-20250630.htm" TargetMode="External"/><Relationship Id="rId59" Type="http://schemas.openxmlformats.org/officeDocument/2006/relationships/hyperlink" Target="http://www.sec.gov/ix?doc=/Archives/edgar/data/1389170/000119312525266435/trgp-20250930.htm" TargetMode="External"/><Relationship Id="rId60" Type="http://schemas.openxmlformats.org/officeDocument/2006/relationships/hyperlink" Target="http://www.sec.gov/ix?doc=/Archives/edgar/data/1389170/000119312525142743/d934630d8k.htm" TargetMode="External"/><Relationship Id="rId61" Type="http://schemas.openxmlformats.org/officeDocument/2006/relationships/hyperlink" Target="http://www.sec.gov/ix?doc=/Archives/edgar/data/1389170/000119312525166471/d73869d8k.htm" TargetMode="External"/><Relationship Id="rId62" Type="http://schemas.openxmlformats.org/officeDocument/2006/relationships/hyperlink" Target="http://www.sec.gov/ix?doc=/Archives/edgar/data/1389170/000119312525174533/d71719d8k.htm" TargetMode="External"/><Relationship Id="rId63" Type="http://schemas.openxmlformats.org/officeDocument/2006/relationships/hyperlink" Target="http://www.sec.gov/ix?doc=/Archives/edgar/data/1389170/000119312525174913/trgp-20250807.htm" TargetMode="External"/><Relationship Id="rId72" Type="http://schemas.openxmlformats.org/officeDocument/2006/relationships/hyperlink" Target="http://www.sec.gov/ix?doc=/Archives/edgar/data/1389170/000119312525030752/d837589d8k.htm" TargetMode="External"/><Relationship Id="rId73" Type="http://schemas.openxmlformats.org/officeDocument/2006/relationships/hyperlink" Target="http://www.sec.gov/ix?doc=/Archives/edgar/data/1389170/000119312525035212/d921171d8k.htm" TargetMode="External"/><Relationship Id="rId74" Type="http://schemas.openxmlformats.org/officeDocument/2006/relationships/hyperlink" Target="http://www.sec.gov/ix?doc=/Archives/edgar/data/1389170/000119312525039300/d154736d8k.htm" TargetMode="External"/><Relationship Id="rId75" Type="http://schemas.openxmlformats.org/officeDocument/2006/relationships/hyperlink" Target="http://www.sec.gov/Archives/edgar/data/1389170/000095012310110293/h75749de8va12b.htm" TargetMode="External"/><Relationship Id="rId76" Type="http://schemas.openxmlformats.org/officeDocument/2006/relationships/hyperlink" Target="http://www.sec.gov/Archives/edgar/data/1389170/000095017025023983/trgp-ex4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2025-11-06T08:07:22Z</dcterms:created>
  <dcterms:modified xsi:type="dcterms:W3CDTF">2025-11-06T08:07:22Z</dcterms:modified>
</cp:coreProperties>
</file>