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10,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TARGA RESOURCES PARTNERS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20"/>
        </w:trPr>
        <w:tc>
          <w:tcPr>
            <w:tcW w:w="282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001-33303</w:t>
            </w:r>
          </w:p>
        </w:tc>
        <w:tc>
          <w:tcPr>
            <w:tcW w:w="204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65-1295427</w:t>
            </w: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(State or other jurisdiction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3"/>
              </w:rPr>
              <w:t>(Commission</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370"/>
              <w:spacing w:after="0"/>
              <w:rPr>
                <w:sz w:val="20"/>
                <w:szCs w:val="20"/>
                <w:color w:val="auto"/>
              </w:rPr>
            </w:pPr>
            <w:r>
              <w:rPr>
                <w:rFonts w:ascii="Arial" w:cs="Arial" w:eastAsia="Arial" w:hAnsi="Arial"/>
                <w:sz w:val="18"/>
                <w:szCs w:val="18"/>
                <w:color w:val="auto"/>
                <w:w w:val="92"/>
              </w:rPr>
              <w:t>of incorporation or organization)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820" w:type="dxa"/>
            <w:vAlign w:val="bottom"/>
          </w:tcPr>
          <w:p>
            <w:pPr>
              <w:spacing w:after="0"/>
              <w:rPr>
                <w:sz w:val="24"/>
                <w:szCs w:val="24"/>
                <w:color w:val="auto"/>
              </w:rPr>
            </w:pPr>
          </w:p>
        </w:tc>
        <w:tc>
          <w:tcPr>
            <w:tcW w:w="49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1000 Louisiana, Suite 4300</w:t>
            </w:r>
          </w:p>
        </w:tc>
        <w:tc>
          <w:tcPr>
            <w:tcW w:w="2040" w:type="dxa"/>
            <w:vAlign w:val="bottom"/>
          </w:tcPr>
          <w:p>
            <w:pPr>
              <w:spacing w:after="0"/>
              <w:rPr>
                <w:sz w:val="24"/>
                <w:szCs w:val="24"/>
                <w:color w:val="auto"/>
              </w:rPr>
            </w:pPr>
          </w:p>
        </w:tc>
      </w:tr>
      <w:tr>
        <w:trPr>
          <w:trHeight w:val="220"/>
        </w:trPr>
        <w:tc>
          <w:tcPr>
            <w:tcW w:w="2820" w:type="dxa"/>
            <w:vAlign w:val="bottom"/>
          </w:tcPr>
          <w:p>
            <w:pPr>
              <w:spacing w:after="0"/>
              <w:rPr>
                <w:sz w:val="19"/>
                <w:szCs w:val="19"/>
                <w:color w:val="auto"/>
              </w:rPr>
            </w:pPr>
          </w:p>
        </w:tc>
        <w:tc>
          <w:tcPr>
            <w:tcW w:w="4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Houston, TX 77002</w:t>
            </w:r>
          </w:p>
        </w:tc>
        <w:tc>
          <w:tcPr>
            <w:tcW w:w="20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p>
        </w:tc>
        <w:tc>
          <w:tcPr>
            <w:tcW w:w="4980" w:type="dxa"/>
            <w:vAlign w:val="bottom"/>
          </w:tcPr>
          <w:p>
            <w:pPr>
              <w:jc w:val="center"/>
              <w:ind w:right="190"/>
              <w:spacing w:after="0"/>
              <w:rPr>
                <w:sz w:val="20"/>
                <w:szCs w:val="20"/>
                <w:color w:val="auto"/>
              </w:rPr>
            </w:pPr>
            <w:r>
              <w:rPr>
                <w:rFonts w:ascii="Arial" w:cs="Arial" w:eastAsia="Arial" w:hAnsi="Arial"/>
                <w:sz w:val="18"/>
                <w:szCs w:val="18"/>
                <w:color w:val="auto"/>
                <w:w w:val="92"/>
              </w:rPr>
              <w:t>(Address of principal executive office and Zip Code)</w:t>
            </w:r>
          </w:p>
        </w:tc>
        <w:tc>
          <w:tcPr>
            <w:tcW w:w="204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584-1000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On August 10, 2010, Targa Resources Partners LP (the “Partnership”) entered into an Underwriting Agreement (the “Underwriting Agreement”) with Wells Fargo Securities, LLC, Merrill Lynch, Pierce, Fenner &amp; Smith Incorporated, Barclays Capital Inc., Citigroup Global Markets Inc. and Morgan Stanley</w:t>
      </w:r>
    </w:p>
    <w:p>
      <w:pPr>
        <w:ind w:firstLine="8"/>
        <w:spacing w:after="0" w:line="271" w:lineRule="auto"/>
        <w:tabs>
          <w:tab w:leader="none" w:pos="18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 Incorporated, as representatives of the several underwriters named therein (the “Underwriters”), providing for the offer and sale in a firm commitment underwritten offering of 6,500,000 common units representing limited partner interests in the Partnership (“Common Units”) at a price of $24.80 per Common Unit ($23.82 per Common Unit, net of underwriting discounts) (the “Offering”). Pursuant to the Underwriting Agreement, the Partnership granted the Underwriters a 30-day option (the “Option”) to purchase up to an additional 975,000 Common Units to cover over-allotments, if any, on the same terms as those Common Units sold by the Partnership. The Option was exercised in full by the Underwriters on August 11, 2010.</w:t>
      </w:r>
    </w:p>
    <w:p>
      <w:pPr>
        <w:spacing w:after="0" w:line="7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sale of the 7,475,000 Common Units pursuant to the Underwriting Agreement is expected to close on August 13, 2010. The Common Units to be sold pursuant to the Underwriting Agreement were registered under the Securities Act of 1933, as amended (the “Securities Act”), pursuant to an automatic effective registration statement on Form S-3 (File No. 333-165959) (the “Registration Statement”).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the Underwriting Agreement, the Partnership agreed to indemnify the Underwriters against certain liabilities, including liabilities under the Securities Act, or to contribute to payments the Underwriters may be required to make because of any of those liabilities. The foregoing description of the Underwriting Agreement is qualified in its entirety by reference to the full text of the Underwriting Agreement, which is filed as Exhibit 1.1 to this Current Report on Form 8-K and is incorporated herein by reference.</w:t>
      </w:r>
    </w:p>
    <w:p>
      <w:pPr>
        <w:spacing w:after="0" w:line="7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the Partnership or its affiliates for which they have received or will receive customary fees and expenses. The Underwriters and their affiliates may currently, and may from time to time in the future, engage in transactions with and perform services for the Partnership and its affiliates in the ordinary course of business. Additionally, affiliates of each of the Underwriters are lenders under the Partnership’s senior secured credit facility and accordingly may receive a substantial portion of the proceeds from the Offering that are used for the repayment of borrowings under such facility. In addition, affiliates of Merrill Lynch, Pierce, Fenner &amp; Smith Incorporated own an approximately 6.5% fully diluted indirect ownership interest in Targa Resources Investments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August 10, 2010, the Partnership issued a press release announcing the pricing of the Common Units.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In connection with the Offering, the Partnership is filing the opinions of Vinson &amp; Elkins L.L.P. as part of this Current Report on Form 8-K that is to be incorporated by reference into the Registration Statement. The opinions of Vinson &amp; Elkins L.L.P. are filed herewith as Exhibits 5.1 and 8.1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060" w:type="dxa"/>
            <w:vAlign w:val="bottom"/>
          </w:tcPr>
          <w:p>
            <w:pPr>
              <w:ind w:left="48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1.1</w:t>
            </w:r>
          </w:p>
        </w:tc>
        <w:tc>
          <w:tcPr>
            <w:tcW w:w="10060" w:type="dxa"/>
            <w:vAlign w:val="bottom"/>
          </w:tcPr>
          <w:p>
            <w:pPr>
              <w:ind w:left="360"/>
              <w:spacing w:after="0"/>
              <w:rPr>
                <w:sz w:val="20"/>
                <w:szCs w:val="20"/>
                <w:color w:val="auto"/>
              </w:rPr>
            </w:pPr>
            <w:r>
              <w:rPr>
                <w:rFonts w:ascii="Arial" w:cs="Arial" w:eastAsia="Arial" w:hAnsi="Arial"/>
                <w:sz w:val="18"/>
                <w:szCs w:val="18"/>
                <w:color w:val="auto"/>
                <w:w w:val="95"/>
              </w:rPr>
              <w:t>Underwriting Agreement dated as of August 10, 2010 by and among Targa Resources Partners LP and the Underwriters named</w:t>
            </w:r>
          </w:p>
        </w:tc>
      </w:tr>
      <w:tr>
        <w:trPr>
          <w:trHeight w:val="216"/>
        </w:trPr>
        <w:tc>
          <w:tcPr>
            <w:tcW w:w="1360" w:type="dxa"/>
            <w:vAlign w:val="bottom"/>
          </w:tcPr>
          <w:p>
            <w:pPr>
              <w:spacing w:after="0"/>
              <w:rPr>
                <w:sz w:val="18"/>
                <w:szCs w:val="18"/>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therein.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5.1</w:t>
            </w:r>
          </w:p>
        </w:tc>
        <w:tc>
          <w:tcPr>
            <w:tcW w:w="10060" w:type="dxa"/>
            <w:vAlign w:val="bottom"/>
          </w:tcPr>
          <w:p>
            <w:pPr>
              <w:ind w:left="360"/>
              <w:spacing w:after="0"/>
              <w:rPr>
                <w:sz w:val="20"/>
                <w:szCs w:val="20"/>
                <w:color w:val="auto"/>
              </w:rPr>
            </w:pPr>
            <w:r>
              <w:rPr>
                <w:rFonts w:ascii="Arial" w:cs="Arial" w:eastAsia="Arial" w:hAnsi="Arial"/>
                <w:sz w:val="18"/>
                <w:szCs w:val="18"/>
                <w:color w:val="auto"/>
              </w:rPr>
              <w:t>Opinion of Vinson &amp; Elkins L.L.P.</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8.1</w:t>
            </w:r>
          </w:p>
        </w:tc>
        <w:tc>
          <w:tcPr>
            <w:tcW w:w="10060" w:type="dxa"/>
            <w:vAlign w:val="bottom"/>
          </w:tcPr>
          <w:p>
            <w:pPr>
              <w:ind w:left="360"/>
              <w:spacing w:after="0"/>
              <w:rPr>
                <w:sz w:val="20"/>
                <w:szCs w:val="20"/>
                <w:color w:val="auto"/>
              </w:rPr>
            </w:pPr>
            <w:r>
              <w:rPr>
                <w:rFonts w:ascii="Arial" w:cs="Arial" w:eastAsia="Arial" w:hAnsi="Arial"/>
                <w:sz w:val="18"/>
                <w:szCs w:val="18"/>
                <w:color w:val="auto"/>
              </w:rPr>
              <w:t>Opinion of Vinson &amp; Elkins L.L.P. relating to tax matters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10060" w:type="dxa"/>
            <w:vAlign w:val="bottom"/>
          </w:tcPr>
          <w:p>
            <w:pPr>
              <w:ind w:left="360"/>
              <w:spacing w:after="0"/>
              <w:rPr>
                <w:sz w:val="20"/>
                <w:szCs w:val="20"/>
                <w:color w:val="auto"/>
              </w:rPr>
            </w:pPr>
            <w:r>
              <w:rPr>
                <w:rFonts w:ascii="Arial" w:cs="Arial" w:eastAsia="Arial" w:hAnsi="Arial"/>
                <w:sz w:val="18"/>
                <w:szCs w:val="18"/>
                <w:color w:val="auto"/>
              </w:rPr>
              <w:t>Consent of Vinson &amp; Elkins L.L.P. (included in its opinions filed as Exhibit 5.1 and Exhibit 8.1 hereto)</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10060" w:type="dxa"/>
            <w:vAlign w:val="bottom"/>
          </w:tcPr>
          <w:p>
            <w:pPr>
              <w:ind w:left="360"/>
              <w:spacing w:after="0"/>
              <w:rPr>
                <w:sz w:val="20"/>
                <w:szCs w:val="20"/>
                <w:color w:val="auto"/>
              </w:rPr>
            </w:pPr>
            <w:r>
              <w:rPr>
                <w:rFonts w:ascii="Arial" w:cs="Arial" w:eastAsia="Arial" w:hAnsi="Arial"/>
                <w:sz w:val="18"/>
                <w:szCs w:val="18"/>
                <w:color w:val="auto"/>
              </w:rPr>
              <w:t>Press Release dated August 10, 2010.</w:t>
            </w:r>
          </w:p>
        </w:tc>
      </w:tr>
      <w:tr>
        <w:trPr>
          <w:trHeight w:val="632"/>
        </w:trPr>
        <w:tc>
          <w:tcPr>
            <w:tcW w:w="136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Statements contained in the exhibits to this report that state the Partnership’s or its management’s expectations or predictions of the future are forward-looking statements. The Partnership’s actual results could differ materially from those projected in such forward-looking statements. Factors that could affect those results include those mentioned in the documents that the Partnership has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b w:val="1"/>
                <w:bCs w:val="1"/>
                <w:color w:val="auto"/>
              </w:rPr>
              <w:t>TARGA RESOURCES PARTNERS LP</w:t>
            </w:r>
          </w:p>
        </w:tc>
        <w:tc>
          <w:tcPr>
            <w:tcW w:w="1680" w:type="dxa"/>
            <w:vAlign w:val="bottom"/>
          </w:tcPr>
          <w:p>
            <w:pPr>
              <w:spacing w:after="0"/>
              <w:rPr>
                <w:sz w:val="20"/>
                <w:szCs w:val="20"/>
                <w:color w:val="auto"/>
              </w:rPr>
            </w:pPr>
          </w:p>
        </w:tc>
      </w:tr>
      <w:tr>
        <w:trPr>
          <w:trHeight w:val="418"/>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Targa Resources GP LLC,</w:t>
            </w:r>
          </w:p>
        </w:tc>
        <w:tc>
          <w:tcPr>
            <w:tcW w:w="1680" w:type="dxa"/>
            <w:vAlign w:val="bottom"/>
          </w:tcPr>
          <w:p>
            <w:pPr>
              <w:spacing w:after="0"/>
              <w:rPr>
                <w:sz w:val="24"/>
                <w:szCs w:val="24"/>
                <w:color w:val="auto"/>
              </w:rPr>
            </w:pP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general partner</w:t>
            </w:r>
          </w:p>
        </w:tc>
        <w:tc>
          <w:tcPr>
            <w:tcW w:w="168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Dated: August 12, 2010</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Jeffrey J. McParland</w:t>
            </w:r>
          </w:p>
        </w:tc>
        <w:tc>
          <w:tcPr>
            <w:tcW w:w="168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J. McParland</w:t>
            </w:r>
          </w:p>
        </w:tc>
        <w:tc>
          <w:tcPr>
            <w:tcW w:w="168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6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632"/>
        </w:trPr>
        <w:tc>
          <w:tcPr>
            <w:tcW w:w="35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9520" w:type="dxa"/>
            <w:vAlign w:val="bottom"/>
          </w:tcPr>
          <w:p>
            <w:pPr>
              <w:ind w:left="3460"/>
              <w:spacing w:after="0"/>
              <w:rPr>
                <w:sz w:val="20"/>
                <w:szCs w:val="20"/>
                <w:color w:val="auto"/>
              </w:rPr>
            </w:pPr>
            <w:r>
              <w:rPr>
                <w:rFonts w:ascii="Arial" w:cs="Arial" w:eastAsia="Arial" w:hAnsi="Arial"/>
                <w:sz w:val="18"/>
                <w:szCs w:val="18"/>
                <w:b w:val="1"/>
                <w:bCs w:val="1"/>
                <w:color w:val="auto"/>
              </w:rPr>
              <w:t>INDEX TO EXHIBITS</w:t>
            </w:r>
          </w:p>
        </w:tc>
      </w:tr>
      <w:tr>
        <w:trPr>
          <w:trHeight w:val="350"/>
        </w:trPr>
        <w:tc>
          <w:tcPr>
            <w:tcW w:w="136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9520" w:type="dxa"/>
            <w:vAlign w:val="bottom"/>
          </w:tcPr>
          <w:p>
            <w:pPr>
              <w:ind w:left="48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1.1</w:t>
            </w:r>
          </w:p>
        </w:tc>
        <w:tc>
          <w:tcPr>
            <w:tcW w:w="9520" w:type="dxa"/>
            <w:vAlign w:val="bottom"/>
          </w:tcPr>
          <w:p>
            <w:pPr>
              <w:ind w:left="360"/>
              <w:spacing w:after="0"/>
              <w:rPr>
                <w:sz w:val="20"/>
                <w:szCs w:val="20"/>
                <w:color w:val="auto"/>
              </w:rPr>
            </w:pPr>
            <w:r>
              <w:rPr>
                <w:rFonts w:ascii="Arial" w:cs="Arial" w:eastAsia="Arial" w:hAnsi="Arial"/>
                <w:sz w:val="18"/>
                <w:szCs w:val="18"/>
                <w:color w:val="auto"/>
                <w:w w:val="89"/>
              </w:rPr>
              <w:t>Underwriting Agreement dated as of August 10, 2010 by and among Targa Resources Partners LP and the Underwriters named</w:t>
            </w:r>
          </w:p>
        </w:tc>
      </w:tr>
      <w:tr>
        <w:trPr>
          <w:trHeight w:val="216"/>
        </w:trPr>
        <w:tc>
          <w:tcPr>
            <w:tcW w:w="1360" w:type="dxa"/>
            <w:vAlign w:val="bottom"/>
          </w:tcPr>
          <w:p>
            <w:pPr>
              <w:spacing w:after="0"/>
              <w:rPr>
                <w:sz w:val="18"/>
                <w:szCs w:val="18"/>
                <w:color w:val="auto"/>
              </w:rPr>
            </w:pPr>
          </w:p>
        </w:tc>
        <w:tc>
          <w:tcPr>
            <w:tcW w:w="9520" w:type="dxa"/>
            <w:vAlign w:val="bottom"/>
          </w:tcPr>
          <w:p>
            <w:pPr>
              <w:ind w:left="360"/>
              <w:spacing w:after="0"/>
              <w:rPr>
                <w:sz w:val="20"/>
                <w:szCs w:val="20"/>
                <w:color w:val="auto"/>
              </w:rPr>
            </w:pPr>
            <w:r>
              <w:rPr>
                <w:rFonts w:ascii="Arial" w:cs="Arial" w:eastAsia="Arial" w:hAnsi="Arial"/>
                <w:sz w:val="18"/>
                <w:szCs w:val="18"/>
                <w:color w:val="auto"/>
              </w:rPr>
              <w:t>therein.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5.1</w:t>
            </w:r>
          </w:p>
        </w:tc>
        <w:tc>
          <w:tcPr>
            <w:tcW w:w="9520" w:type="dxa"/>
            <w:vAlign w:val="bottom"/>
          </w:tcPr>
          <w:p>
            <w:pPr>
              <w:ind w:left="360"/>
              <w:spacing w:after="0"/>
              <w:rPr>
                <w:sz w:val="20"/>
                <w:szCs w:val="20"/>
                <w:color w:val="auto"/>
              </w:rPr>
            </w:pPr>
            <w:r>
              <w:rPr>
                <w:rFonts w:ascii="Arial" w:cs="Arial" w:eastAsia="Arial" w:hAnsi="Arial"/>
                <w:sz w:val="18"/>
                <w:szCs w:val="18"/>
                <w:color w:val="auto"/>
              </w:rPr>
              <w:t>Opinion of Vinson &amp; Elkins L.L.P.</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8.1</w:t>
            </w:r>
          </w:p>
        </w:tc>
        <w:tc>
          <w:tcPr>
            <w:tcW w:w="9520" w:type="dxa"/>
            <w:vAlign w:val="bottom"/>
          </w:tcPr>
          <w:p>
            <w:pPr>
              <w:ind w:left="360"/>
              <w:spacing w:after="0"/>
              <w:rPr>
                <w:sz w:val="20"/>
                <w:szCs w:val="20"/>
                <w:color w:val="auto"/>
              </w:rPr>
            </w:pPr>
            <w:r>
              <w:rPr>
                <w:rFonts w:ascii="Arial" w:cs="Arial" w:eastAsia="Arial" w:hAnsi="Arial"/>
                <w:sz w:val="18"/>
                <w:szCs w:val="18"/>
                <w:color w:val="auto"/>
              </w:rPr>
              <w:t>Opinion of Vinson &amp; Elkins L.L.P. relating to tax matters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9520" w:type="dxa"/>
            <w:vAlign w:val="bottom"/>
          </w:tcPr>
          <w:p>
            <w:pPr>
              <w:ind w:left="360"/>
              <w:spacing w:after="0"/>
              <w:rPr>
                <w:sz w:val="20"/>
                <w:szCs w:val="20"/>
                <w:color w:val="auto"/>
              </w:rPr>
            </w:pPr>
            <w:r>
              <w:rPr>
                <w:rFonts w:ascii="Arial" w:cs="Arial" w:eastAsia="Arial" w:hAnsi="Arial"/>
                <w:sz w:val="18"/>
                <w:szCs w:val="18"/>
                <w:color w:val="auto"/>
              </w:rPr>
              <w:t>Consent of Vinson &amp; Elkins L.L.P. (included in its opinions filed as Exhibit 5.1 and Exhibit 8.1 hereto)</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9520" w:type="dxa"/>
            <w:vAlign w:val="bottom"/>
          </w:tcPr>
          <w:p>
            <w:pPr>
              <w:ind w:left="360"/>
              <w:spacing w:after="0"/>
              <w:rPr>
                <w:sz w:val="20"/>
                <w:szCs w:val="20"/>
                <w:color w:val="auto"/>
              </w:rPr>
            </w:pPr>
            <w:r>
              <w:rPr>
                <w:rFonts w:ascii="Arial" w:cs="Arial" w:eastAsia="Arial" w:hAnsi="Arial"/>
                <w:sz w:val="18"/>
                <w:szCs w:val="18"/>
                <w:color w:val="auto"/>
              </w:rPr>
              <w:t>Press Release dated August 10, 2010.</w:t>
            </w:r>
          </w:p>
        </w:tc>
      </w:tr>
    </w:tbl>
    <w:p>
      <w:pPr>
        <w:sectPr>
          <w:pgSz w:w="11900" w:h="16838" w:orient="portrait"/>
          <w:cols w:equalWidth="0" w:num="1">
            <w:col w:w="10880"/>
          </w:cols>
          <w:pgMar w:left="240" w:top="1440" w:right="7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TARGA RESOURCES PARTNERS LP</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6,500,000 Common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August 10,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Representatives of the several Underwriters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Targa Resources Partners LP, a limited partnership organized under the laws of Delaware (the “</w:t>
      </w:r>
      <w:r>
        <w:rPr>
          <w:rFonts w:ascii="Arial" w:cs="Arial" w:eastAsia="Arial" w:hAnsi="Arial"/>
          <w:sz w:val="17"/>
          <w:szCs w:val="17"/>
          <w:u w:val="single" w:color="auto"/>
          <w:color w:val="auto"/>
        </w:rPr>
        <w:t>Partnership</w:t>
      </w:r>
      <w:r>
        <w:rPr>
          <w:rFonts w:ascii="Arial" w:cs="Arial" w:eastAsia="Arial" w:hAnsi="Arial"/>
          <w:sz w:val="17"/>
          <w:szCs w:val="17"/>
          <w:color w:val="auto"/>
        </w:rPr>
        <w:t xml:space="preserve">”), proposes to sell to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6,500,000 common units (the “</w:t>
      </w:r>
      <w:r>
        <w:rPr>
          <w:rFonts w:ascii="Arial" w:cs="Arial" w:eastAsia="Arial" w:hAnsi="Arial"/>
          <w:sz w:val="17"/>
          <w:szCs w:val="17"/>
          <w:u w:val="single" w:color="auto"/>
          <w:color w:val="auto"/>
        </w:rPr>
        <w:t>Firm Units</w:t>
      </w:r>
      <w:r>
        <w:rPr>
          <w:rFonts w:ascii="Arial" w:cs="Arial" w:eastAsia="Arial" w:hAnsi="Arial"/>
          <w:sz w:val="17"/>
          <w:szCs w:val="17"/>
          <w:color w:val="auto"/>
        </w:rPr>
        <w:t>”), each representing a limited partner interest in the Partnership (the “</w:t>
      </w:r>
      <w:r>
        <w:rPr>
          <w:rFonts w:ascii="Arial" w:cs="Arial" w:eastAsia="Arial" w:hAnsi="Arial"/>
          <w:sz w:val="17"/>
          <w:szCs w:val="17"/>
          <w:u w:val="single" w:color="auto"/>
          <w:color w:val="auto"/>
        </w:rPr>
        <w:t>Common Units</w:t>
      </w:r>
      <w:r>
        <w:rPr>
          <w:rFonts w:ascii="Arial" w:cs="Arial" w:eastAsia="Arial" w:hAnsi="Arial"/>
          <w:sz w:val="17"/>
          <w:szCs w:val="17"/>
          <w:color w:val="auto"/>
        </w:rPr>
        <w:t>”). The Partnership also proposes to grant to the Underwriters an option to purchase up to 975,000 additional Common Units to cover over-allotments, if any (the “</w:t>
      </w:r>
      <w:r>
        <w:rPr>
          <w:rFonts w:ascii="Arial" w:cs="Arial" w:eastAsia="Arial" w:hAnsi="Arial"/>
          <w:sz w:val="17"/>
          <w:szCs w:val="17"/>
          <w:u w:val="single" w:color="auto"/>
          <w:color w:val="auto"/>
        </w:rPr>
        <w:t>Option Units</w:t>
      </w:r>
      <w:r>
        <w:rPr>
          <w:rFonts w:ascii="Arial" w:cs="Arial" w:eastAsia="Arial" w:hAnsi="Arial"/>
          <w:sz w:val="17"/>
          <w:szCs w:val="17"/>
          <w:color w:val="auto"/>
        </w:rPr>
        <w:t>”; the Option Units, together with the Firm Units, being hereinafter called the “</w:t>
      </w:r>
      <w:r>
        <w:rPr>
          <w:rFonts w:ascii="Arial" w:cs="Arial" w:eastAsia="Arial" w:hAnsi="Arial"/>
          <w:sz w:val="17"/>
          <w:szCs w:val="17"/>
          <w:u w:val="single" w:color="auto"/>
          <w:color w:val="auto"/>
        </w:rPr>
        <w:t>Units</w:t>
      </w:r>
      <w:r>
        <w:rPr>
          <w:rFonts w:ascii="Arial" w:cs="Arial" w:eastAsia="Arial" w:hAnsi="Arial"/>
          <w:sz w:val="17"/>
          <w:szCs w:val="17"/>
          <w:color w:val="auto"/>
        </w:rPr>
        <w:t>”). Any reference herein to the Registration Statement, any Preliminary Final Prospectus or the Final Prospectus shall be deemed to refer to and include the documents incorporated by reference therein pursuant to Item 12 of Form S-3 which were filed under the Exchange Act on or before the Effective Date of the Registration Statement or the issue date of any Preliminary Final Prospectus or the Final Prospectus, as the case may be; and any reference herein to the terms “amend,” “amendment” or “supplement” with respect to the Registration Statement, any Preliminary Final Prospectus or the Final Prospectus shall be deemed to refer to and include the filing of any document under the Exchange Act after the Effective Date of the Registration Statement or the issue date of any Preliminary Final Prospectus or the Final Prospectus, as the case may be, deemed to be incorporated therein by reference. Certain terms used herein are defined in Section 22 hereof.</w:t>
      </w:r>
    </w:p>
    <w:p>
      <w:pPr>
        <w:spacing w:after="0" w:line="75"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Targa Resources GP LLC, a Delaware limited liability company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is the general partner of the Partnership. Targa Resources Operating GP LLC, a Delaware limited liability company (the “</w:t>
      </w:r>
      <w:r>
        <w:rPr>
          <w:rFonts w:ascii="Arial" w:cs="Arial" w:eastAsia="Arial" w:hAnsi="Arial"/>
          <w:sz w:val="18"/>
          <w:szCs w:val="18"/>
          <w:u w:val="single" w:color="auto"/>
          <w:color w:val="auto"/>
        </w:rPr>
        <w:t>Operating GP</w:t>
      </w:r>
      <w:r>
        <w:rPr>
          <w:rFonts w:ascii="Arial" w:cs="Arial" w:eastAsia="Arial" w:hAnsi="Arial"/>
          <w:sz w:val="18"/>
          <w:szCs w:val="18"/>
          <w:color w:val="auto"/>
        </w:rPr>
        <w:t>”), is the general partner of Targa Resources Operating LP, a Delaware limited partnership (the “</w:t>
      </w:r>
      <w:r>
        <w:rPr>
          <w:rFonts w:ascii="Arial" w:cs="Arial" w:eastAsia="Arial" w:hAnsi="Arial"/>
          <w:sz w:val="18"/>
          <w:szCs w:val="18"/>
          <w:u w:val="single" w:color="auto"/>
          <w:color w:val="auto"/>
        </w:rPr>
        <w:t>Operating Partnership</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40"/>
        <w:spacing w:after="0" w:line="286" w:lineRule="auto"/>
        <w:rPr>
          <w:sz w:val="20"/>
          <w:szCs w:val="20"/>
          <w:color w:val="auto"/>
        </w:rPr>
      </w:pPr>
      <w:r>
        <w:rPr>
          <w:rFonts w:ascii="Arial" w:cs="Arial" w:eastAsia="Arial" w:hAnsi="Arial"/>
          <w:sz w:val="17"/>
          <w:szCs w:val="17"/>
          <w:color w:val="auto"/>
        </w:rPr>
        <w:t>together with the Partnership, the General Partner and the Operating GP, the “</w:t>
      </w:r>
      <w:r>
        <w:rPr>
          <w:rFonts w:ascii="Arial" w:cs="Arial" w:eastAsia="Arial" w:hAnsi="Arial"/>
          <w:sz w:val="17"/>
          <w:szCs w:val="17"/>
          <w:u w:val="single" w:color="auto"/>
          <w:color w:val="auto"/>
        </w:rPr>
        <w:t>Targa Parties</w:t>
      </w:r>
      <w:r>
        <w:rPr>
          <w:rFonts w:ascii="Arial" w:cs="Arial" w:eastAsia="Arial" w:hAnsi="Arial"/>
          <w:sz w:val="17"/>
          <w:szCs w:val="17"/>
          <w:color w:val="auto"/>
        </w:rPr>
        <w:t xml:space="preserve">”). The Partnership’s direct or indirect majority-owned subsidiaries are listed in </w:t>
      </w:r>
      <w:r>
        <w:rPr>
          <w:rFonts w:ascii="Arial" w:cs="Arial" w:eastAsia="Arial" w:hAnsi="Arial"/>
          <w:sz w:val="17"/>
          <w:szCs w:val="17"/>
          <w:u w:val="single" w:color="auto"/>
          <w:color w:val="auto"/>
        </w:rPr>
        <w:t>Schedule II-A</w:t>
      </w:r>
      <w:r>
        <w:rPr>
          <w:rFonts w:ascii="Arial" w:cs="Arial" w:eastAsia="Arial" w:hAnsi="Arial"/>
          <w:sz w:val="17"/>
          <w:szCs w:val="17"/>
          <w:color w:val="auto"/>
        </w:rPr>
        <w:t xml:space="preserve"> attached hereto and are referred to herein as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collectively with the Partnership, the “</w:t>
      </w:r>
      <w:r>
        <w:rPr>
          <w:rFonts w:ascii="Arial" w:cs="Arial" w:eastAsia="Arial" w:hAnsi="Arial"/>
          <w:sz w:val="17"/>
          <w:szCs w:val="17"/>
          <w:u w:val="single" w:color="auto"/>
          <w:color w:val="auto"/>
        </w:rPr>
        <w:t>Partnership Entities</w:t>
      </w:r>
      <w:r>
        <w:rPr>
          <w:rFonts w:ascii="Arial" w:cs="Arial" w:eastAsia="Arial" w:hAnsi="Arial"/>
          <w:sz w:val="17"/>
          <w:szCs w:val="17"/>
          <w:color w:val="auto"/>
        </w:rPr>
        <w:t xml:space="preserve">”); and the subsidiaries listed in </w:t>
      </w:r>
      <w:r>
        <w:rPr>
          <w:rFonts w:ascii="Arial" w:cs="Arial" w:eastAsia="Arial" w:hAnsi="Arial"/>
          <w:sz w:val="17"/>
          <w:szCs w:val="17"/>
          <w:u w:val="single" w:color="auto"/>
          <w:color w:val="auto"/>
        </w:rPr>
        <w:t>Schedule II-B</w:t>
      </w:r>
      <w:r>
        <w:rPr>
          <w:rFonts w:ascii="Arial" w:cs="Arial" w:eastAsia="Arial" w:hAnsi="Arial"/>
          <w:sz w:val="17"/>
          <w:szCs w:val="17"/>
          <w:color w:val="auto"/>
        </w:rPr>
        <w:t xml:space="preserve"> attached hereto are referred to herein as the “</w:t>
      </w:r>
      <w:r>
        <w:rPr>
          <w:rFonts w:ascii="Arial" w:cs="Arial" w:eastAsia="Arial" w:hAnsi="Arial"/>
          <w:sz w:val="17"/>
          <w:szCs w:val="17"/>
          <w:u w:val="single" w:color="auto"/>
          <w:color w:val="auto"/>
        </w:rPr>
        <w:t>Material Subsidiaries</w:t>
      </w:r>
      <w:r>
        <w:rPr>
          <w:rFonts w:ascii="Arial" w:cs="Arial" w:eastAsia="Arial" w:hAnsi="Arial"/>
          <w:sz w:val="17"/>
          <w:szCs w:val="17"/>
          <w:color w:val="auto"/>
        </w:rPr>
        <w:t>.”</w:t>
      </w:r>
    </w:p>
    <w:p>
      <w:pPr>
        <w:spacing w:after="0" w:line="57" w:lineRule="exact"/>
        <w:rPr>
          <w:sz w:val="20"/>
          <w:szCs w:val="20"/>
          <w:color w:val="auto"/>
        </w:rPr>
      </w:pPr>
    </w:p>
    <w:p>
      <w:pPr>
        <w:ind w:right="680" w:firstLine="447"/>
        <w:spacing w:after="0" w:line="277" w:lineRule="auto"/>
        <w:rPr>
          <w:sz w:val="20"/>
          <w:szCs w:val="20"/>
          <w:color w:val="auto"/>
        </w:rPr>
      </w:pPr>
      <w:r>
        <w:rPr>
          <w:rFonts w:ascii="Arial" w:cs="Arial" w:eastAsia="Arial" w:hAnsi="Arial"/>
          <w:sz w:val="18"/>
          <w:szCs w:val="18"/>
          <w:color w:val="auto"/>
        </w:rPr>
        <w:t>This is to confirm the agreement among the Partnership and the Underwriters concerning the purchase of the Units from the Partnership by the Underwriters.</w:t>
      </w:r>
    </w:p>
    <w:p>
      <w:pPr>
        <w:spacing w:after="0" w:line="62" w:lineRule="exact"/>
        <w:rPr>
          <w:sz w:val="20"/>
          <w:szCs w:val="20"/>
          <w:color w:val="auto"/>
        </w:rPr>
      </w:pPr>
    </w:p>
    <w:p>
      <w:pPr>
        <w:ind w:left="640" w:hanging="18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Partnership represents and warrants to, and agrees with, each Underwriter as set forth below in this Section 1.</w:t>
      </w:r>
    </w:p>
    <w:p>
      <w:pPr>
        <w:spacing w:after="0" w:line="140" w:lineRule="exact"/>
        <w:rPr>
          <w:rFonts w:ascii="Arial" w:cs="Arial" w:eastAsia="Arial" w:hAnsi="Arial"/>
          <w:sz w:val="16"/>
          <w:szCs w:val="16"/>
          <w:color w:val="auto"/>
        </w:rPr>
      </w:pPr>
    </w:p>
    <w:p>
      <w:pPr>
        <w:ind w:left="240" w:right="40" w:firstLine="221"/>
        <w:spacing w:after="0" w:line="270" w:lineRule="auto"/>
        <w:tabs>
          <w:tab w:leader="none" w:pos="71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Registration</w:t>
      </w:r>
      <w:r>
        <w:rPr>
          <w:rFonts w:ascii="Arial" w:cs="Arial" w:eastAsia="Arial" w:hAnsi="Arial"/>
          <w:sz w:val="17"/>
          <w:szCs w:val="17"/>
          <w:color w:val="auto"/>
        </w:rPr>
        <w:t>. The Partnership meets the requirements for use of Form S-3 under the Act and has prepared and filed with the Commission an</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 shelf registration statement (file number 333-165959), as defined in Rule 405, on Form S-3, including a related basic prospectus, for registration under the Act of the offering and sale of the Units. Such Registration Statement, including any amendments thereto filed prior to the Execution Time, became effective upon filing. The Partnership may have filed with the Commission, as part of an amendment to the Registration Statement or pursuant to Rule 424(b), one or more Preliminary Final Prospectuses, each of which has previously been furnished to you. The Partnership will file with the Commission a final prospectus supplement relating to the Units in accordance with Rule 424(b). As filed, such final prospectus supplement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any Preliminary Final Prospectus) as the Partnership has advised you, prior to the Execution Time, will be included or made therein.</w:t>
      </w:r>
    </w:p>
    <w:p>
      <w:pPr>
        <w:spacing w:after="0" w:line="69" w:lineRule="exact"/>
        <w:rPr>
          <w:rFonts w:ascii="Arial" w:cs="Arial" w:eastAsia="Arial" w:hAnsi="Arial"/>
          <w:sz w:val="17"/>
          <w:szCs w:val="17"/>
          <w:color w:val="auto"/>
        </w:rPr>
      </w:pPr>
    </w:p>
    <w:p>
      <w:pPr>
        <w:ind w:left="240" w:firstLine="221"/>
        <w:spacing w:after="0" w:line="270"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Registration Statement or Prospectus</w:t>
      </w:r>
      <w:r>
        <w:rPr>
          <w:rFonts w:ascii="Arial" w:cs="Arial" w:eastAsia="Arial" w:hAnsi="Arial"/>
          <w:sz w:val="17"/>
          <w:szCs w:val="17"/>
          <w:color w:val="auto"/>
        </w:rPr>
        <w:t>. On the Effective Date, the Registration Statement did, and when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Final Prospectus is first filed (if required) in accordance with Rule 424(b) and on the Closing Date (as defined in Section 3 hereof) and on any date on which Option Units are purchased, if such date is not the Closing Date (a “settlement date”), the Final Prospectus (and any supplement thereto) will, comply in all material respects with the applicable requirements of the Act and the Exchange Act and the respective rules thereunder; on the Effective Date and at the Execution Time, the Registration Statement did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Partnership makes no representations or warranties as to the information contained in or omitted from the Registration Statement or the Final Prospectus (or any supplement thereto) in reliance upon and in conformity 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20"/>
        <w:spacing w:after="0" w:line="264" w:lineRule="auto"/>
        <w:rPr>
          <w:sz w:val="20"/>
          <w:szCs w:val="20"/>
          <w:color w:val="auto"/>
        </w:rPr>
      </w:pPr>
      <w:r>
        <w:rPr>
          <w:rFonts w:ascii="Arial" w:cs="Arial" w:eastAsia="Arial" w:hAnsi="Arial"/>
          <w:sz w:val="18"/>
          <w:szCs w:val="18"/>
          <w:color w:val="auto"/>
        </w:rPr>
        <w:t>information furnished in writing to the Partnership by or on behalf of any Underwriter through the Representatives specifically for inclusion in the Registration Statement or the Final Prospectus (or any supplement thereto), it being understood and agreed that the only such information furnished by or on behalf of any Underwriters consists of the information described as such in Section 8 hereof.</w:t>
      </w:r>
    </w:p>
    <w:p>
      <w:pPr>
        <w:spacing w:after="0" w:line="73" w:lineRule="exact"/>
        <w:rPr>
          <w:sz w:val="20"/>
          <w:szCs w:val="20"/>
          <w:color w:val="auto"/>
        </w:rPr>
      </w:pPr>
    </w:p>
    <w:p>
      <w:pPr>
        <w:ind w:right="60" w:firstLine="221"/>
        <w:spacing w:after="0" w:line="293" w:lineRule="auto"/>
        <w:tabs>
          <w:tab w:leader="none" w:pos="47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Disclosure Package</w:t>
      </w:r>
      <w:r>
        <w:rPr>
          <w:rFonts w:ascii="Arial" w:cs="Arial" w:eastAsia="Arial" w:hAnsi="Arial"/>
          <w:sz w:val="16"/>
          <w:szCs w:val="16"/>
          <w:color w:val="auto"/>
        </w:rPr>
        <w:t>. The Disclosure Package, at 8:30 AM EST on August 10, 2010,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have informed the Partnership and its counsel is a time prior to the first sale of the Units,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Partnership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56" w:lineRule="exact"/>
        <w:rPr>
          <w:rFonts w:ascii="Arial" w:cs="Arial" w:eastAsia="Arial" w:hAnsi="Arial"/>
          <w:sz w:val="16"/>
          <w:szCs w:val="16"/>
          <w:color w:val="auto"/>
        </w:rPr>
      </w:pPr>
    </w:p>
    <w:p>
      <w:pPr>
        <w:ind w:firstLine="221"/>
        <w:spacing w:after="0" w:line="272"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Well-Known Seasoned Issuer; Eligible Issuer</w:t>
      </w:r>
      <w:r>
        <w:rPr>
          <w:rFonts w:ascii="Arial" w:cs="Arial" w:eastAsia="Arial" w:hAnsi="Arial"/>
          <w:sz w:val="17"/>
          <w:szCs w:val="17"/>
          <w:color w:val="auto"/>
        </w:rPr>
        <w:t>. (i) At the time of filing the Registration Statement, (ii) at the time of the most recent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for the purposes of complying with Section 10(a)(3) of the Act (whether such amendment was by post-effective amendment, incorporated report filed pursuant to Sections 13 or 15(d) of the Exchange Act or form of prospectus), (iii) at the time the Partnership or any person acting on its behalf (within the meaning, for this clause only, of Rule 163(c)) made any offer relating to the Units in reliance on the exemption in Rule 163, and (iv) at the Execution Time (with such date being used as the determination date for purposes of this clause (iv)), the Partnership was or is (as the case may be) a “well-known seasoned issuer” as defined in Rule 405. At the earliest time after the filing of the Registration Statement that the Partnership or another offering participant made a bona fide offer of the Units, the Partnership was not an “ineligible issuer” (as defined in Rule 405).</w:t>
      </w:r>
    </w:p>
    <w:p>
      <w:pPr>
        <w:spacing w:after="0" w:line="69" w:lineRule="exact"/>
        <w:rPr>
          <w:rFonts w:ascii="Arial" w:cs="Arial" w:eastAsia="Arial" w:hAnsi="Arial"/>
          <w:sz w:val="17"/>
          <w:szCs w:val="17"/>
          <w:color w:val="auto"/>
        </w:rPr>
      </w:pPr>
    </w:p>
    <w:p>
      <w:pPr>
        <w:ind w:right="80" w:firstLine="221"/>
        <w:spacing w:after="0" w:line="255"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Each Issuer Free Writing Prospectus does not include any information that conflicts with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the Registration Statement, including any document incorporated therein and any prospectus supplement deemed to be a part thereof that has not been superseded or modified. The foregoing sentence does not apply to statements in or omissions from the Disclosure Package based upon and in conformity with written information furnished to the Partnership by any Underwriter through the Representatives specifically for use therein, it being understood and agreed that the only such information furnished by or on behalf of any Underwriter consists of the information described as such in Section 8 hereof. The Partnership has not made any offer relating to the Units that would constitute an Issuer Free Writing Prospectus without the prior written consent of the Underwriters.</w:t>
      </w:r>
    </w:p>
    <w:p>
      <w:pPr>
        <w:spacing w:after="0" w:line="81" w:lineRule="exact"/>
        <w:rPr>
          <w:rFonts w:ascii="Arial" w:cs="Arial" w:eastAsia="Arial" w:hAnsi="Arial"/>
          <w:sz w:val="18"/>
          <w:szCs w:val="18"/>
          <w:color w:val="auto"/>
        </w:rPr>
      </w:pPr>
    </w:p>
    <w:p>
      <w:pPr>
        <w:jc w:val="both"/>
        <w:ind w:firstLine="221"/>
        <w:spacing w:after="0" w:line="264"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Formation and Qualification</w:t>
      </w:r>
      <w:r>
        <w:rPr>
          <w:rFonts w:ascii="Arial" w:cs="Arial" w:eastAsia="Arial" w:hAnsi="Arial"/>
          <w:sz w:val="18"/>
          <w:szCs w:val="18"/>
          <w:color w:val="auto"/>
        </w:rPr>
        <w:t>. Each of the Partnership, the General Partner and the Material Subsidiaries has been duly formed or incorporated and is</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existing as a general partnership, limited partnership, limited liability company or corporation, as applicable, in good standing under the laws of the jurisdiction set forth</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8" w:name="page9"/>
    <w:bookmarkEnd w:id="8"/>
    <w:p>
      <w:pPr>
        <w:ind w:right="20"/>
        <w:spacing w:after="0" w:line="272" w:lineRule="auto"/>
        <w:rPr>
          <w:sz w:val="20"/>
          <w:szCs w:val="20"/>
          <w:color w:val="auto"/>
        </w:rPr>
      </w:pPr>
      <w:r>
        <w:rPr>
          <w:rFonts w:ascii="Arial" w:cs="Arial" w:eastAsia="Arial" w:hAnsi="Arial"/>
          <w:sz w:val="17"/>
          <w:szCs w:val="17"/>
          <w:color w:val="auto"/>
        </w:rPr>
        <w:t xml:space="preserve">opposite its name in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attached hereto with full power and authority to own or lease its properties and to conduct its business, in each case as described in the Disclosure Package and the Final Prospectus, in all material respects. Each of the Partnership, the General Partner and the Material Subsidiaries is duly registered or qualified to do business as a foreign general partnership, limited partnership, limited liability company or corporation, as applicable, and is in good standing under the laws of each jurisdiction which requires such registration or qualification, except where the failure to be so registered or qualified would not reasonably be expected to have a Material Adverse Effect. “Material Adverse Effect” shall mean a material adverse effect on the business or properties, earnings, condition (financial or otherwise) or prospects, taken as a whole, of the Partnership and its Subsidiaries, considered as one enterprise, whether or not in the ordinary course of business.</w:t>
      </w:r>
    </w:p>
    <w:p>
      <w:pPr>
        <w:spacing w:after="0" w:line="70" w:lineRule="exact"/>
        <w:rPr>
          <w:sz w:val="20"/>
          <w:szCs w:val="20"/>
          <w:color w:val="auto"/>
        </w:rPr>
      </w:pPr>
    </w:p>
    <w:p>
      <w:pPr>
        <w:ind w:right="20" w:firstLine="221"/>
        <w:spacing w:after="0" w:line="286"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Power and Authority to Act as a General Partner</w:t>
      </w:r>
      <w:r>
        <w:rPr>
          <w:rFonts w:ascii="Arial" w:cs="Arial" w:eastAsia="Arial" w:hAnsi="Arial"/>
          <w:sz w:val="17"/>
          <w:szCs w:val="17"/>
          <w:color w:val="auto"/>
        </w:rPr>
        <w:t>. The General Partner has full power and authority to act as general partner of the Partnership in all</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respects as described in the Disclosure Package and Final Prospectus. The Operating GP has full power and authority to act as general partner of the Operating Partnership in all material respects as described in the Disclosure Package and Final Prospectus.</w:t>
      </w:r>
    </w:p>
    <w:p>
      <w:pPr>
        <w:spacing w:after="0" w:line="57" w:lineRule="exact"/>
        <w:rPr>
          <w:rFonts w:ascii="Arial" w:cs="Arial" w:eastAsia="Arial" w:hAnsi="Arial"/>
          <w:sz w:val="17"/>
          <w:szCs w:val="17"/>
          <w:color w:val="auto"/>
        </w:rPr>
      </w:pPr>
    </w:p>
    <w:p>
      <w:pPr>
        <w:ind w:right="20" w:firstLine="221"/>
        <w:spacing w:after="0" w:line="271"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w:t>
      </w:r>
      <w:r>
        <w:rPr>
          <w:rFonts w:ascii="Arial" w:cs="Arial" w:eastAsia="Arial" w:hAnsi="Arial"/>
          <w:sz w:val="17"/>
          <w:szCs w:val="17"/>
          <w:color w:val="auto"/>
        </w:rPr>
        <w:t>. Targa GP Inc., a Delaware corporation (“</w:t>
      </w:r>
      <w:r>
        <w:rPr>
          <w:rFonts w:ascii="Arial" w:cs="Arial" w:eastAsia="Arial" w:hAnsi="Arial"/>
          <w:sz w:val="17"/>
          <w:szCs w:val="17"/>
          <w:u w:val="single" w:color="auto"/>
          <w:color w:val="auto"/>
        </w:rPr>
        <w:t>TGPI</w:t>
      </w:r>
      <w:r>
        <w:rPr>
          <w:rFonts w:ascii="Arial" w:cs="Arial" w:eastAsia="Arial" w:hAnsi="Arial"/>
          <w:sz w:val="17"/>
          <w:szCs w:val="17"/>
          <w:color w:val="auto"/>
        </w:rPr>
        <w:t>”), owns all of the issued and outstanding membership interests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Partner; such membership interests have been duly and validly authorized and issued in accordance with the limited liability company agreement of the General Partner (as the same may be amended or restated at or prior to the Closing Date, the “</w:t>
      </w:r>
      <w:r>
        <w:rPr>
          <w:rFonts w:ascii="Arial" w:cs="Arial" w:eastAsia="Arial" w:hAnsi="Arial"/>
          <w:sz w:val="17"/>
          <w:szCs w:val="17"/>
          <w:u w:val="single" w:color="auto"/>
          <w:color w:val="auto"/>
        </w:rPr>
        <w:t>GP LLC Agreement</w:t>
      </w:r>
      <w:r>
        <w:rPr>
          <w:rFonts w:ascii="Arial" w:cs="Arial" w:eastAsia="Arial" w:hAnsi="Arial"/>
          <w:sz w:val="17"/>
          <w:szCs w:val="17"/>
          <w:color w:val="auto"/>
        </w:rPr>
        <w:t>”), and are fully paid (to the extent required by the GP LLC Agreement) and nonassessable (except as such nonassessability may be affected by Sections 18-607 and 18-804 of the Delaware Limited Liability Company Act (the “</w:t>
      </w:r>
      <w:r>
        <w:rPr>
          <w:rFonts w:ascii="Arial" w:cs="Arial" w:eastAsia="Arial" w:hAnsi="Arial"/>
          <w:sz w:val="17"/>
          <w:szCs w:val="17"/>
          <w:u w:val="single" w:color="auto"/>
          <w:color w:val="auto"/>
        </w:rPr>
        <w:t>Delaware LLC Act</w:t>
      </w:r>
      <w:r>
        <w:rPr>
          <w:rFonts w:ascii="Arial" w:cs="Arial" w:eastAsia="Arial" w:hAnsi="Arial"/>
          <w:sz w:val="17"/>
          <w:szCs w:val="17"/>
          <w:color w:val="auto"/>
        </w:rPr>
        <w:t>”)); and TGPI owns such membership interests free and clear of all liens, encumbrances, security interests, charges or other claims (“</w:t>
      </w:r>
      <w:r>
        <w:rPr>
          <w:rFonts w:ascii="Arial" w:cs="Arial" w:eastAsia="Arial" w:hAnsi="Arial"/>
          <w:sz w:val="17"/>
          <w:szCs w:val="17"/>
          <w:u w:val="single" w:color="auto"/>
          <w:color w:val="auto"/>
        </w:rPr>
        <w:t>Liens</w:t>
      </w:r>
      <w:r>
        <w:rPr>
          <w:rFonts w:ascii="Arial" w:cs="Arial" w:eastAsia="Arial" w:hAnsi="Arial"/>
          <w:sz w:val="17"/>
          <w:szCs w:val="17"/>
          <w:color w:val="auto"/>
        </w:rPr>
        <w:t>”) (except restrictions on transferability and other Liens as described in the Disclosure Package and the Final Prospectus and arising under the Credit Agreement dated January 5, 2010, by and between Targa Resources, Inc. and the lenders named therein (the “</w:t>
      </w:r>
      <w:r>
        <w:rPr>
          <w:rFonts w:ascii="Arial" w:cs="Arial" w:eastAsia="Arial" w:hAnsi="Arial"/>
          <w:sz w:val="17"/>
          <w:szCs w:val="17"/>
          <w:u w:val="single" w:color="auto"/>
          <w:color w:val="auto"/>
        </w:rPr>
        <w:t>Targa Credit Agreement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221"/>
        <w:spacing w:after="0" w:line="271"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 Interest in the Partnership</w:t>
      </w:r>
      <w:r>
        <w:rPr>
          <w:rFonts w:ascii="Arial" w:cs="Arial" w:eastAsia="Arial" w:hAnsi="Arial"/>
          <w:sz w:val="17"/>
          <w:szCs w:val="17"/>
          <w:color w:val="auto"/>
        </w:rPr>
        <w:t>. The General Partner is the sole general partner of the Partnership with a 2.0%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interest in the Partnership; such general partner interest has been duly and validly authorized and issued in accordance with the partnership agreement of the Partnership (as the same may be amended or restated at or prior to the Closing Date,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and the General Partner owns such general partner interest free and clear of all Liens (except restrictions on transferability and other Liens as described in the Disclosure Package and the Final Prospectus or arising under that certain Amended and Restated Credit Agreement, dated July 19, 2010, with Bank of America, N.A., as administrative agent, collateral agent, swing line lender and L/C issuer, and other lenders named therein (as the same will be supplemented, amended or restated at or prior to the Closing Date and together with the agreements, exhibits, and attachments contemplated or included therein,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or the Targa Credit Agreement.</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left="4" w:firstLine="221"/>
        <w:spacing w:after="0" w:line="271" w:lineRule="auto"/>
        <w:tabs>
          <w:tab w:leader="none" w:pos="444"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Capitalization; Ownership of Incentive Distribution Rights</w:t>
      </w:r>
      <w:r>
        <w:rPr>
          <w:rFonts w:ascii="Arial" w:cs="Arial" w:eastAsia="Arial" w:hAnsi="Arial"/>
          <w:sz w:val="17"/>
          <w:szCs w:val="17"/>
          <w:color w:val="auto"/>
        </w:rPr>
        <w:t>. As of the date hereof (and prior to the issuance of the Units as contemplated by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issued and outstanding limited partnership interests of the Partnership consist of 67,980,596 Common Units and the Incentive Distribution Rights (as defined in the Partnership Agreement); the General Partner owns 100% of the Incentive Distribution Rights; all of such Common Units and Incentive Distribution Rights and the limited partner interests represented thereby have been duly and validly authorized and issued in accordance with the Partnership Agreement, and are fully paid (to the extent required under the Partnership Agreement) and nonassessable (except as such nonassessability may be affected by Sections 17-607 and 17-804 of the Delaware Limited Partnership Act (the “</w:t>
      </w:r>
      <w:r>
        <w:rPr>
          <w:rFonts w:ascii="Arial" w:cs="Arial" w:eastAsia="Arial" w:hAnsi="Arial"/>
          <w:sz w:val="17"/>
          <w:szCs w:val="17"/>
          <w:u w:val="single" w:color="auto"/>
          <w:color w:val="auto"/>
        </w:rPr>
        <w:t>Delaware LP Act</w:t>
      </w:r>
      <w:r>
        <w:rPr>
          <w:rFonts w:ascii="Arial" w:cs="Arial" w:eastAsia="Arial" w:hAnsi="Arial"/>
          <w:sz w:val="17"/>
          <w:szCs w:val="17"/>
          <w:color w:val="auto"/>
        </w:rPr>
        <w:t>”)); the General Partner owns the Incentive Distribution Rights free and clear of all Liens (except restrictions on transferability and other Liens as described in the Disclosure Package and the Final Prospectus or arising under the Targa Credit Agreement).</w:t>
      </w:r>
    </w:p>
    <w:p>
      <w:pPr>
        <w:spacing w:after="0" w:line="70" w:lineRule="exact"/>
        <w:rPr>
          <w:rFonts w:ascii="Arial" w:cs="Arial" w:eastAsia="Arial" w:hAnsi="Arial"/>
          <w:sz w:val="17"/>
          <w:szCs w:val="17"/>
          <w:color w:val="auto"/>
        </w:rPr>
      </w:pPr>
    </w:p>
    <w:p>
      <w:pPr>
        <w:ind w:left="4" w:right="120" w:firstLine="221"/>
        <w:spacing w:after="0" w:line="279" w:lineRule="auto"/>
        <w:tabs>
          <w:tab w:leader="none" w:pos="484"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Valid Issuance of the Units</w:t>
      </w:r>
      <w:r>
        <w:rPr>
          <w:rFonts w:ascii="Arial" w:cs="Arial" w:eastAsia="Arial" w:hAnsi="Arial"/>
          <w:sz w:val="17"/>
          <w:szCs w:val="17"/>
          <w:color w:val="auto"/>
        </w:rPr>
        <w:t>. The Units to be purchased by the Underwriters from the Partnership have been duly authorized for issuance and sale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pursuant to this Agreement and, when issued and delivered by the Partnership pursuant to this Agreement against payment of the consideration set forth herein, will be validly issued and fully paid (to the extent required under the Partnership Agreement) and nonassessable (except as such nonassessability may be affected by matters described in Sections 17-607 and 17-804 of the Delaware LP Act).</w:t>
      </w:r>
    </w:p>
    <w:p>
      <w:pPr>
        <w:spacing w:after="0" w:line="63" w:lineRule="exact"/>
        <w:rPr>
          <w:rFonts w:ascii="Arial" w:cs="Arial" w:eastAsia="Arial" w:hAnsi="Arial"/>
          <w:sz w:val="17"/>
          <w:szCs w:val="17"/>
          <w:color w:val="auto"/>
        </w:rPr>
      </w:pPr>
    </w:p>
    <w:p>
      <w:pPr>
        <w:ind w:left="4" w:right="20" w:firstLine="221"/>
        <w:spacing w:after="0" w:line="283" w:lineRule="auto"/>
        <w:tabs>
          <w:tab w:leader="none" w:pos="444"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Ownership of Material Subsidiaries</w:t>
      </w:r>
      <w:r>
        <w:rPr>
          <w:rFonts w:ascii="Arial" w:cs="Arial" w:eastAsia="Arial" w:hAnsi="Arial"/>
          <w:sz w:val="16"/>
          <w:szCs w:val="16"/>
          <w:color w:val="auto"/>
        </w:rPr>
        <w:t>. All of the issued and outstanding equity interests of each Material Subsidiary (i) have been duly authorized and</w:t>
      </w:r>
      <w:r>
        <w:rPr>
          <w:rFonts w:ascii="Arial" w:cs="Arial" w:eastAsia="Arial" w:hAnsi="Arial"/>
          <w:sz w:val="16"/>
          <w:szCs w:val="16"/>
          <w:i w:val="1"/>
          <w:iCs w:val="1"/>
          <w:color w:val="auto"/>
        </w:rPr>
        <w:t xml:space="preserve"> </w:t>
      </w:r>
      <w:r>
        <w:rPr>
          <w:rFonts w:ascii="Arial" w:cs="Arial" w:eastAsia="Arial" w:hAnsi="Arial"/>
          <w:sz w:val="16"/>
          <w:szCs w:val="16"/>
          <w:color w:val="auto"/>
        </w:rPr>
        <w:t>validly issued (in accordance with the bylaws or the general partnership, limited partnership or limited liability company agreements (collectively, the “</w:t>
      </w:r>
      <w:r>
        <w:rPr>
          <w:rFonts w:ascii="Arial" w:cs="Arial" w:eastAsia="Arial" w:hAnsi="Arial"/>
          <w:sz w:val="16"/>
          <w:szCs w:val="16"/>
          <w:u w:val="single" w:color="auto"/>
          <w:color w:val="auto"/>
        </w:rPr>
        <w:t>Organizational Agreements</w:t>
      </w:r>
      <w:r>
        <w:rPr>
          <w:rFonts w:ascii="Arial" w:cs="Arial" w:eastAsia="Arial" w:hAnsi="Arial"/>
          <w:sz w:val="16"/>
          <w:szCs w:val="16"/>
          <w:color w:val="auto"/>
        </w:rPr>
        <w:t>”) or the certificate of formation or conversion, certificate or articles of incorporation, or other similar organizational document (in each case as in effect on the date hereof and as the same may be amended or restated on or prior to the Closing Date) (collectively with the Organizational Agreements, the “</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as applicable, of such Material Subsidiary), are fully paid (in the case of an interest in a general partnership, limited partnership or limited liability company, to the extent required under the Organizational Documents of such Material Subsidiary) and nonassessable (except (1) in the case of an interest in a Delaware general partnership, Delaware limited partnership or Delaware limited liability company, as such nonassessability may be affected by the Delaware Revised Uniform Partnership Act, Sections 17-607 and 17-804 of the Delaware LP Act or Sections 18-607 and 18-804 of the Delaware LLC Act, as applicable, (2) in the case of an interest in a general partnership, limited partnership or limited liability company formed under the laws of another domestic state, as such nonassessability may be affected by similar provisions of such state’s general partnership, limited partnership or limited liability company statute, as applicable, and (3) in the case of an interest in an entity formed under the laws of a foreign jurisdiction, as such nonassessability may be affected by similar provisions of such jurisdiction’s corporate, partnership or limited liability company statute, if any, as applicable), other than equity interests that are not owned, directly or indirectly, by the Partnership, and</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Cedar Bayou Fractionators, L.P., a Delaware limited partnership (“</w:t>
      </w:r>
      <w:r>
        <w:rPr>
          <w:rFonts w:ascii="Arial" w:cs="Arial" w:eastAsia="Arial" w:hAnsi="Arial"/>
          <w:sz w:val="18"/>
          <w:szCs w:val="18"/>
          <w:u w:val="single" w:color="auto"/>
          <w:color w:val="auto"/>
        </w:rPr>
        <w:t>CBF</w:t>
      </w:r>
      <w:r>
        <w:rPr>
          <w:rFonts w:ascii="Arial" w:cs="Arial" w:eastAsia="Arial" w:hAnsi="Arial"/>
          <w:sz w:val="18"/>
          <w:szCs w:val="18"/>
          <w:color w:val="auto"/>
        </w:rPr>
        <w:t>”), and Downstream Energy</w:t>
      </w:r>
    </w:p>
    <w:p>
      <w:pPr>
        <w:spacing w:after="0" w:line="184"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t>Ventures Co., L.L.C., a Delaware limited liability company (“</w:t>
      </w:r>
      <w:r>
        <w:rPr>
          <w:rFonts w:ascii="Arial" w:cs="Arial" w:eastAsia="Arial" w:hAnsi="Arial"/>
          <w:sz w:val="18"/>
          <w:szCs w:val="18"/>
          <w:u w:val="single" w:color="auto"/>
          <w:color w:val="auto"/>
        </w:rPr>
        <w:t>DEV</w:t>
      </w:r>
      <w:r>
        <w:rPr>
          <w:rFonts w:ascii="Arial" w:cs="Arial" w:eastAsia="Arial" w:hAnsi="Arial"/>
          <w:sz w:val="18"/>
          <w:szCs w:val="18"/>
          <w:color w:val="auto"/>
        </w:rPr>
        <w:t>”), are owned, directly or indirectly, by the Partnership, free and clear of all Liens, other than those arising under the Credit Agreement. The Partnership owns, directly or indirectly, an 88% interest in CBF and an 88% interest in DEV, in each case free and clear of all Liens except those arising under the Credit Agreement and the applicable Organizational Documents. The Subsidiaries other than the Material Subsidiaries did not, individually or in the aggregate, account for (x) more than 10% of the total assets of the Partnership and the Subsidiaries, taken as a whole, as of June 30, 2010 or (y) more than 10% of the net income of the Partnership and the Subsidiaries, taken as a whole, for the six months ended June 30, 2010.</w:t>
      </w:r>
    </w:p>
    <w:p>
      <w:pPr>
        <w:spacing w:after="0" w:line="85" w:lineRule="exact"/>
        <w:rPr>
          <w:sz w:val="20"/>
          <w:szCs w:val="20"/>
          <w:color w:val="auto"/>
        </w:rPr>
      </w:pPr>
    </w:p>
    <w:p>
      <w:pPr>
        <w:ind w:right="100" w:firstLine="221"/>
        <w:spacing w:after="0" w:line="255" w:lineRule="auto"/>
        <w:tabs>
          <w:tab w:leader="none" w:pos="53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 Preemptive Rights, Registration Rights or Options</w:t>
      </w:r>
      <w:r>
        <w:rPr>
          <w:rFonts w:ascii="Arial" w:cs="Arial" w:eastAsia="Arial" w:hAnsi="Arial"/>
          <w:sz w:val="18"/>
          <w:szCs w:val="18"/>
          <w:color w:val="auto"/>
        </w:rPr>
        <w:t>. Except for preemptive rights identified in the Disclosure Package and the Final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or provided for in the Organizational Documents of the Partnership, there are no (i) preemptive rights or other rights to subscribe for or to purchase, nor any restriction upon the voting or transfer of, any equity securities of the Partnership or (ii) outstanding options or warrants to purchase any securities of the Partnership, in each case pursuant to any agreement or other instrument to which the Partnership is a party or by which the Partnership may be bound. Except for such rights that have been waived or as described in the Disclosure Package and the Final Prospectus, neither the filing of the Registration Statement nor the offering or sale of the Units as contemplated by this Agreement gives rise to any rights for or relating to the registration of any Units or other securities of the Partnership.</w:t>
      </w:r>
    </w:p>
    <w:p>
      <w:pPr>
        <w:spacing w:after="0" w:line="81" w:lineRule="exact"/>
        <w:rPr>
          <w:rFonts w:ascii="Arial" w:cs="Arial" w:eastAsia="Arial" w:hAnsi="Arial"/>
          <w:sz w:val="18"/>
          <w:szCs w:val="18"/>
          <w:color w:val="auto"/>
        </w:rPr>
      </w:pPr>
    </w:p>
    <w:p>
      <w:pPr>
        <w:ind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Authority and Authorization</w:t>
      </w:r>
      <w:r>
        <w:rPr>
          <w:rFonts w:ascii="Arial" w:cs="Arial" w:eastAsia="Arial" w:hAnsi="Arial"/>
          <w:sz w:val="18"/>
          <w:szCs w:val="18"/>
          <w:color w:val="auto"/>
        </w:rPr>
        <w:t>. On the Closing Date and each settlement date, (i) all partnership action required to be taken by the Partnership or its</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for the authorization, issuance, sale and delivery of the Units, the execution and delivery by the Partnership of this Agreement and the transactions contemplated hereby, and (ii) all partnership action required to be taken by the Partnership and Targa Versado Holdings LP or their partners for the execution and delivery by them of the Purchase Agreement (defined below) and the transactions contemplated thereby, shall in the case of both (i) and (ii) above have been validly taken to the extent required to be taken at such times. Each party to the Purchase Agreement has all the requisite power and authority to perform its obligations thereunder.</w:t>
      </w:r>
    </w:p>
    <w:p>
      <w:pPr>
        <w:spacing w:after="0" w:line="85" w:lineRule="exact"/>
        <w:rPr>
          <w:rFonts w:ascii="Arial" w:cs="Arial" w:eastAsia="Arial" w:hAnsi="Arial"/>
          <w:sz w:val="18"/>
          <w:szCs w:val="18"/>
          <w:color w:val="auto"/>
        </w:rPr>
      </w:pPr>
    </w:p>
    <w:p>
      <w:pPr>
        <w:ind w:left="480" w:hanging="259"/>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Authorization of this Agreement</w:t>
      </w:r>
      <w:r>
        <w:rPr>
          <w:rFonts w:ascii="Arial" w:cs="Arial" w:eastAsia="Arial" w:hAnsi="Arial"/>
          <w:sz w:val="18"/>
          <w:szCs w:val="18"/>
          <w:color w:val="auto"/>
        </w:rPr>
        <w:t>. This Agreement has been duly authorized, executed and delivered by or on behalf of the Partnership.</w:t>
      </w:r>
    </w:p>
    <w:p>
      <w:pPr>
        <w:spacing w:after="0" w:line="117" w:lineRule="exact"/>
        <w:rPr>
          <w:rFonts w:ascii="Arial" w:cs="Arial" w:eastAsia="Arial" w:hAnsi="Arial"/>
          <w:sz w:val="18"/>
          <w:szCs w:val="18"/>
          <w:color w:val="auto"/>
        </w:rPr>
      </w:pPr>
    </w:p>
    <w:p>
      <w:pPr>
        <w:ind w:right="8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Enforceability of Certain Organizational Agreements</w:t>
      </w:r>
      <w:r>
        <w:rPr>
          <w:rFonts w:ascii="Arial" w:cs="Arial" w:eastAsia="Arial" w:hAnsi="Arial"/>
          <w:sz w:val="18"/>
          <w:szCs w:val="18"/>
          <w:color w:val="auto"/>
        </w:rPr>
        <w:t>. The Organizational Agreements of the Partnership, the General Partner and the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as applicable, have been duly authorized, executed and delivered by the parties thereto, and are valid and legally binding agreements of such parties, enforceable against such parties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agreement described in this Section 1(p),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w:t>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indemnity, contribution and exoneration provisions contained in any of such agreements may be limited by applicable laws and public policy.</w:t>
      </w:r>
    </w:p>
    <w:p>
      <w:pPr>
        <w:spacing w:after="0" w:line="117" w:lineRule="exact"/>
        <w:rPr>
          <w:sz w:val="20"/>
          <w:szCs w:val="20"/>
          <w:color w:val="auto"/>
        </w:rPr>
      </w:pPr>
    </w:p>
    <w:p>
      <w:pPr>
        <w:ind w:firstLine="221"/>
        <w:spacing w:after="0" w:line="269"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Enforceability of the Purchase Agreement</w:t>
      </w:r>
      <w:r>
        <w:rPr>
          <w:rFonts w:ascii="Arial" w:cs="Arial" w:eastAsia="Arial" w:hAnsi="Arial"/>
          <w:sz w:val="17"/>
          <w:szCs w:val="17"/>
          <w:color w:val="auto"/>
        </w:rPr>
        <w:t>. The Purchase and Sale Agreement dated as of August 6, 2010 by and between Targa Versado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LP, as the seller, and the Partnership, as the buyer, as the same may be amended or restated at or prior to the Closing Date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whereby the Partnership will acquire the following interests: (i) 100% of the limited liability company interests in Targa Versado GP LLC, a Delaware limited liability company (“</w:t>
      </w:r>
      <w:r>
        <w:rPr>
          <w:rFonts w:ascii="Arial" w:cs="Arial" w:eastAsia="Arial" w:hAnsi="Arial"/>
          <w:sz w:val="17"/>
          <w:szCs w:val="17"/>
          <w:u w:val="single" w:color="auto"/>
          <w:color w:val="auto"/>
        </w:rPr>
        <w:t>Targa Versado GP</w:t>
      </w:r>
      <w:r>
        <w:rPr>
          <w:rFonts w:ascii="Arial" w:cs="Arial" w:eastAsia="Arial" w:hAnsi="Arial"/>
          <w:sz w:val="17"/>
          <w:szCs w:val="17"/>
          <w:color w:val="auto"/>
        </w:rPr>
        <w:t>”), and (ii) 100% of the limited partner interests in Targa Versado LP, a Delaware limited partnership (“</w:t>
      </w:r>
      <w:r>
        <w:rPr>
          <w:rFonts w:ascii="Arial" w:cs="Arial" w:eastAsia="Arial" w:hAnsi="Arial"/>
          <w:sz w:val="17"/>
          <w:szCs w:val="17"/>
          <w:u w:val="single" w:color="auto"/>
          <w:color w:val="auto"/>
        </w:rPr>
        <w:t>Targa</w:t>
      </w:r>
      <w:r>
        <w:rPr>
          <w:rFonts w:ascii="Arial" w:cs="Arial" w:eastAsia="Arial" w:hAnsi="Arial"/>
          <w:sz w:val="17"/>
          <w:szCs w:val="17"/>
          <w:color w:val="auto"/>
        </w:rPr>
        <w:t xml:space="preserve"> </w:t>
      </w:r>
      <w:r>
        <w:rPr>
          <w:rFonts w:ascii="Arial" w:cs="Arial" w:eastAsia="Arial" w:hAnsi="Arial"/>
          <w:sz w:val="17"/>
          <w:szCs w:val="17"/>
          <w:u w:val="single" w:color="auto"/>
          <w:color w:val="auto"/>
        </w:rPr>
        <w:t>Versado LP</w:t>
      </w:r>
      <w:r>
        <w:rPr>
          <w:rFonts w:ascii="Arial" w:cs="Arial" w:eastAsia="Arial" w:hAnsi="Arial"/>
          <w:sz w:val="17"/>
          <w:szCs w:val="17"/>
          <w:color w:val="auto"/>
        </w:rPr>
        <w:t>”) and together with Targa Versado GP, the “</w:t>
      </w:r>
      <w:r>
        <w:rPr>
          <w:rFonts w:ascii="Arial" w:cs="Arial" w:eastAsia="Arial" w:hAnsi="Arial"/>
          <w:sz w:val="17"/>
          <w:szCs w:val="17"/>
          <w:u w:val="single" w:color="auto"/>
          <w:color w:val="auto"/>
        </w:rPr>
        <w:t>Purchased Companies</w:t>
      </w:r>
      <w:r>
        <w:rPr>
          <w:rFonts w:ascii="Arial" w:cs="Arial" w:eastAsia="Arial" w:hAnsi="Arial"/>
          <w:sz w:val="17"/>
          <w:szCs w:val="17"/>
          <w:color w:val="auto"/>
        </w:rPr>
        <w:t xml:space="preserve">”), has been duly authorized, executed and delivered by Targa Versado Holdings LP and the Partnership and is a valid and legally binding agreement of Targa Versado Holdings LP and the Partnership, enforceable against Targa Versado Holdings LP and the Partnership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agreement described in this Section 1(q),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indemnity, contribution and exoneration provisions contained in any of such agreements may be limited by applicable laws and public policy.</w:t>
      </w:r>
    </w:p>
    <w:p>
      <w:pPr>
        <w:spacing w:after="0" w:line="74" w:lineRule="exact"/>
        <w:rPr>
          <w:rFonts w:ascii="Arial" w:cs="Arial" w:eastAsia="Arial" w:hAnsi="Arial"/>
          <w:sz w:val="17"/>
          <w:szCs w:val="17"/>
          <w:color w:val="auto"/>
        </w:rPr>
      </w:pPr>
    </w:p>
    <w:p>
      <w:pPr>
        <w:ind w:right="60" w:firstLine="221"/>
        <w:spacing w:after="0" w:line="268" w:lineRule="auto"/>
        <w:tabs>
          <w:tab w:leader="none" w:pos="45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None of (i) the offering, issuance or sale by the Partnership of the Units, (ii) the execution, delivery and performance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by the Partnership, (iii) the execution, delivery and performance of the Purchase Agreement by the Partnership Entities that are parties thereto, or (iv) the consummation of the transactions contemplated by this Agreement or the Purchase Agreement, (A) conflicts or will conflict with, or constitutes or will constitute a violation of the Organizational Documents of the Partnership, the General Partner or the Material Subsidiaries, (B) conflicts or will conflict with, or constitutes or will constitute a breach or violation of, or a default (or an event that, with notice or lapse of time or both, would constitute such a default) under any indenture, mortgage, deed of trust, loan agreement, lease or other agreement or instrument to which the Partnership, the General Partner or any of the Material Subsidiaries is a party or by which any of them or any of their respective properties may be bound, (C) violates or will violate any statute, law or regulation or any order, judgment, decree or injunction of any court or governmental agency or body directed to the Partnership, the General Partner or any of the Material Subsidiaries or any of their respective properties in a proceeding to which any of them or any of their respective property is a party or (D) results or will result in the creation or imposition of any Lien upon any property or assets of the Partnership, the General Partner or any of the Material Subsidiaries (other than Liens created pursuant to the Credit Agreement or the Targa Credit Agreement), which conflicts, breaches, violations, defaults or Liens, in the case of clauses (B), (C) or (D), would reasonably be expected to have, individually or in the aggregate, a Material Adverse Effect or materially impair the ability of the Partnership to consummate the transactions contemplated by this Agreement or the Purchase Agreement.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ind w:firstLine="221"/>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permit, consent, approval, authorization, order, registration, filing or qualification (“</w:t>
      </w:r>
      <w:r>
        <w:rPr>
          <w:rFonts w:ascii="Arial" w:cs="Arial" w:eastAsia="Arial" w:hAnsi="Arial"/>
          <w:sz w:val="16"/>
          <w:szCs w:val="16"/>
          <w:u w:val="single" w:color="auto"/>
          <w:color w:val="auto"/>
        </w:rPr>
        <w:t>Permits</w:t>
      </w:r>
      <w:r>
        <w:rPr>
          <w:rFonts w:ascii="Arial" w:cs="Arial" w:eastAsia="Arial" w:hAnsi="Arial"/>
          <w:sz w:val="16"/>
          <w:szCs w:val="16"/>
          <w:color w:val="auto"/>
        </w:rPr>
        <w:t>”) of or with any court or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agency or body having jurisdiction over the Partnership, the General Partner or any of the Material Subsidiaries or any of their respective properties or assets is required for the offering, issuance or sale by the Partnership of the Units, the execution, delivery and performance of this Agreement by the Partnership, the execution, delivery and performance by the Partnership Entities that are parties thereto of their respective obligations under the Purchase Agreement or the consummation of the transactions contemplated hereby, except (i) such Permits as may be required under the Act, the Exchange Act and state securities or “Blue Sky” laws of any jurisdiction, (ii) such Permits as have been obtained or will be obtained prior to (x) the Closing Date, or (y) the closing of the transactions contemplated by the Purchase Agreement, (iii) such Permits that, if not obtained, could not, individually or in the aggregate, reasonably be expected to have a Material Adverse Effect, and (iv) such Permits as are disclosed in the Disclosure Package and the Final Prospectus.</w:t>
      </w:r>
    </w:p>
    <w:p>
      <w:pPr>
        <w:spacing w:after="0" w:line="58" w:lineRule="exact"/>
        <w:rPr>
          <w:rFonts w:ascii="Arial" w:cs="Arial" w:eastAsia="Arial" w:hAnsi="Arial"/>
          <w:sz w:val="16"/>
          <w:szCs w:val="16"/>
          <w:color w:val="auto"/>
        </w:rPr>
      </w:pPr>
    </w:p>
    <w:p>
      <w:pPr>
        <w:ind w:right="160" w:firstLine="221"/>
        <w:spacing w:after="0" w:line="293"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No Defaults</w:t>
      </w:r>
      <w:r>
        <w:rPr>
          <w:rFonts w:ascii="Arial" w:cs="Arial" w:eastAsia="Arial" w:hAnsi="Arial"/>
          <w:sz w:val="16"/>
          <w:szCs w:val="16"/>
          <w:color w:val="auto"/>
        </w:rPr>
        <w:t>. None of the Partnership, the General Partner or the Material Subsidiaries is in (i) violation of its Organizational Documents, or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statute, law, rule or regulation, or any judgment, order, injunction or decree of any court, governmental agency or body or arbitrator having jurisdiction over the Partnership, the General Partner or any of the Material Subsidiaries or any of their respective properties or assets or (ii) breach, default (or an event which, with notice or lapse of time or both, would constitute such an event) or violation in the performance of any obligation, agreement or condition contained in any indenture, mortgage, deed of trust, loan agreement, lease or other agreement or instrument to which it is a party or by which it or any of its properties may be bound, which in the case of either clause (i) or (ii) would, if continued, have a Material Adverse Effect.</w:t>
      </w:r>
    </w:p>
    <w:p>
      <w:pPr>
        <w:spacing w:after="0" w:line="56" w:lineRule="exact"/>
        <w:rPr>
          <w:rFonts w:ascii="Arial" w:cs="Arial" w:eastAsia="Arial" w:hAnsi="Arial"/>
          <w:sz w:val="16"/>
          <w:szCs w:val="16"/>
          <w:color w:val="auto"/>
        </w:rPr>
      </w:pPr>
    </w:p>
    <w:p>
      <w:pPr>
        <w:ind w:right="500" w:firstLine="221"/>
        <w:spacing w:after="0" w:line="26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Conformity of Units to Description</w:t>
      </w:r>
      <w:r>
        <w:rPr>
          <w:rFonts w:ascii="Arial" w:cs="Arial" w:eastAsia="Arial" w:hAnsi="Arial"/>
          <w:sz w:val="18"/>
          <w:szCs w:val="18"/>
          <w:color w:val="auto"/>
        </w:rPr>
        <w:t>. The Units, when issued and delivered in accordance with the terms of the Partnership Agreement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against payment therefor as provided therein and herein, will conform in all material respects to the description thereof contained in the Disclosure Package and the Final Prospectus.</w:t>
      </w:r>
    </w:p>
    <w:p>
      <w:pPr>
        <w:spacing w:after="0" w:line="73" w:lineRule="exact"/>
        <w:rPr>
          <w:rFonts w:ascii="Arial" w:cs="Arial" w:eastAsia="Arial" w:hAnsi="Arial"/>
          <w:sz w:val="18"/>
          <w:szCs w:val="18"/>
          <w:color w:val="auto"/>
        </w:rPr>
      </w:pPr>
    </w:p>
    <w:p>
      <w:pPr>
        <w:ind w:right="140" w:firstLine="221"/>
        <w:spacing w:after="0" w:line="342"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No Labor Dispute</w:t>
      </w:r>
      <w:r>
        <w:rPr>
          <w:rFonts w:ascii="Arial" w:cs="Arial" w:eastAsia="Arial" w:hAnsi="Arial"/>
          <w:sz w:val="16"/>
          <w:szCs w:val="16"/>
          <w:color w:val="auto"/>
        </w:rPr>
        <w:t>. No labor problem or dispute with the General Partner’s employees exists or is threatened or imminent, that could reasonably be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have a Material Adverse Effect, except as set forth in or contemplated in the Disclosure Package and the Final Prospectus.</w:t>
      </w:r>
    </w:p>
    <w:p>
      <w:pPr>
        <w:spacing w:after="0" w:line="15" w:lineRule="exact"/>
        <w:rPr>
          <w:rFonts w:ascii="Arial" w:cs="Arial" w:eastAsia="Arial" w:hAnsi="Arial"/>
          <w:sz w:val="16"/>
          <w:szCs w:val="16"/>
          <w:color w:val="auto"/>
        </w:rPr>
      </w:pPr>
    </w:p>
    <w:p>
      <w:pPr>
        <w:ind w:right="200" w:firstLine="221"/>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audited consolidated financial statements of the Partnership and its Subsidiaries included in the Preliminary Final</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the Registration Statement present fairly in all material respects the financial condition, results of operations and cash flows of the Partnership and its consolidated Subsidiaries as of the dates and for the periods indicated, and have been prepared in accordance with generally accepted accounting principles applied on a consistent basis throughout the periods involved (except as otherwise noted therein). The summary and selected financial, statistical and operating information set forth in the Preliminary Final Prospectus and the Final Prospectus under the caption “Summary— Summary</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left="4" w:right="240"/>
        <w:spacing w:after="0" w:line="277" w:lineRule="auto"/>
        <w:rPr>
          <w:sz w:val="20"/>
          <w:szCs w:val="20"/>
          <w:color w:val="auto"/>
        </w:rPr>
      </w:pPr>
      <w:r>
        <w:rPr>
          <w:rFonts w:ascii="Arial" w:cs="Arial" w:eastAsia="Arial" w:hAnsi="Arial"/>
          <w:sz w:val="18"/>
          <w:szCs w:val="18"/>
          <w:color w:val="auto"/>
        </w:rPr>
        <w:t>Consolidated Financial and Operating Data” accurately present in all material respects the information shown therein and have been prepared on a basis consistent with the audited financial statements included therein, except as otherwise stated therein.</w:t>
      </w:r>
    </w:p>
    <w:p>
      <w:pPr>
        <w:spacing w:after="0" w:line="62" w:lineRule="exact"/>
        <w:rPr>
          <w:sz w:val="20"/>
          <w:szCs w:val="20"/>
          <w:color w:val="auto"/>
        </w:rPr>
      </w:pPr>
    </w:p>
    <w:p>
      <w:pPr>
        <w:ind w:left="4" w:right="40" w:firstLine="221"/>
        <w:spacing w:after="0" w:line="259" w:lineRule="auto"/>
        <w:tabs>
          <w:tab w:leader="none" w:pos="48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Independent Public Accountants</w:t>
      </w:r>
      <w:r>
        <w:rPr>
          <w:rFonts w:ascii="Arial" w:cs="Arial" w:eastAsia="Arial" w:hAnsi="Arial"/>
          <w:sz w:val="18"/>
          <w:szCs w:val="18"/>
          <w:color w:val="auto"/>
        </w:rPr>
        <w:t>. PricewaterhouseCoopers LLP, which has certified certain financial statements of the Partnership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delivered its reports with respect to the audited consolidated financial statements incorporated by reference in the Disclosure Package and the Final Prospectus, is an independent registered public accounting firm with respect to the Partnership within the meaning of the Act and the applicable published rules and regulations thereunder.</w:t>
      </w:r>
    </w:p>
    <w:p>
      <w:pPr>
        <w:spacing w:after="0" w:line="78" w:lineRule="exact"/>
        <w:rPr>
          <w:rFonts w:ascii="Arial" w:cs="Arial" w:eastAsia="Arial" w:hAnsi="Arial"/>
          <w:sz w:val="18"/>
          <w:szCs w:val="18"/>
          <w:color w:val="auto"/>
        </w:rPr>
      </w:pPr>
    </w:p>
    <w:p>
      <w:pPr>
        <w:ind w:left="4" w:right="20" w:firstLine="221"/>
        <w:spacing w:after="0" w:line="270" w:lineRule="auto"/>
        <w:tabs>
          <w:tab w:leader="none" w:pos="484"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Except as set forth or contemplated in the Disclosure Package and the Final Prospectus, there is (i) no action, suit or proceeding before or</w:t>
      </w:r>
      <w:r>
        <w:rPr>
          <w:rFonts w:ascii="Arial" w:cs="Arial" w:eastAsia="Arial" w:hAnsi="Arial"/>
          <w:sz w:val="17"/>
          <w:szCs w:val="17"/>
          <w:i w:val="1"/>
          <w:iCs w:val="1"/>
          <w:color w:val="auto"/>
        </w:rPr>
        <w:t xml:space="preserve"> </w:t>
      </w:r>
      <w:r>
        <w:rPr>
          <w:rFonts w:ascii="Arial" w:cs="Arial" w:eastAsia="Arial" w:hAnsi="Arial"/>
          <w:sz w:val="17"/>
          <w:szCs w:val="17"/>
          <w:color w:val="auto"/>
        </w:rPr>
        <w:t>by any court, arbitrator or governmental agency, body or official, domestic or foreign, now pending or, to the knowledge of the Partnership, threatened, to which the Partnership or any Material Subsidiary or any Purchased Company is or may be a party or to which the business or property of any of the Partnership or any Material Subsidiary or any Purchased Company is or may be subject, (ii) to the knowledge of the Partnership, no statute, rule, regulation or order that has been enacted, adopted or issued by any governmental agency and (iii) no injunction, restraining order or order of any nature issued by a Federal or state court or foreign court of competent jurisdiction to which any of the Partnership or any Material Subsidiary or any Purchased Company is or may be subject, that, in the case of clauses (i), (ii) and (iii) above, would reasonably be expected to have, individually or in the aggregate, a Material Adverse Effect, prevent or result in the suspension of the offering and issuance of the Units or draw into question the validity of this Agreement or the Purchase Agreement.</w:t>
      </w:r>
    </w:p>
    <w:p>
      <w:pPr>
        <w:spacing w:after="0" w:line="73" w:lineRule="exact"/>
        <w:rPr>
          <w:rFonts w:ascii="Arial" w:cs="Arial" w:eastAsia="Arial" w:hAnsi="Arial"/>
          <w:sz w:val="17"/>
          <w:szCs w:val="17"/>
          <w:color w:val="auto"/>
        </w:rPr>
      </w:pPr>
    </w:p>
    <w:p>
      <w:pPr>
        <w:ind w:left="4" w:right="280" w:firstLine="221"/>
        <w:spacing w:after="0" w:line="288" w:lineRule="auto"/>
        <w:tabs>
          <w:tab w:leader="none" w:pos="473"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Partnership and the Material Subsidiaries have good and marketable title to all real property and good title to all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described in the Disclosure Package or the Final Prospectus as owned by the Partnership Entities, free and clear of all Liens, except (i) as described, and subject to limitations contained, in the Disclosure Package and the Final Prospectus, (ii) Liens that arise under the Credit Agreement or</w:t>
      </w:r>
    </w:p>
    <w:p>
      <w:pPr>
        <w:ind w:left="4" w:hanging="4"/>
        <w:spacing w:after="0" w:line="290" w:lineRule="auto"/>
        <w:tabs>
          <w:tab w:leader="none" w:pos="3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to the extent the failure to have such title or the existence of such Liens would not, individually or in the aggregate,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real property and buildings held under lease by the Partnership and the Material Subsidiaries, such real property and buildings are or will be held under valid and subsisting and enforceable leases with such exceptions as do not materially interfere with the use of the properties of the Partnership Entities taken as a whole as they have been used in the past as described in the Disclosure Package and the Final Prospectus and are proposed to be used in the future as described in the Disclosure Package and the Final Prospectus, except to the extent the failure to hold such valid and subsisting and enforceable leases would not, individually or in the aggregate, have a Material Adverse Effect.</w:t>
      </w:r>
    </w:p>
    <w:p>
      <w:pPr>
        <w:spacing w:after="0" w:line="56" w:lineRule="exact"/>
        <w:rPr>
          <w:rFonts w:ascii="Arial" w:cs="Arial" w:eastAsia="Arial" w:hAnsi="Arial"/>
          <w:sz w:val="16"/>
          <w:szCs w:val="16"/>
          <w:color w:val="auto"/>
        </w:rPr>
      </w:pPr>
    </w:p>
    <w:p>
      <w:pPr>
        <w:ind w:left="4" w:right="740" w:firstLine="221"/>
        <w:spacing w:after="0" w:line="277"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Rights-of-Way</w:t>
      </w:r>
      <w:r>
        <w:rPr>
          <w:rFonts w:ascii="Arial" w:cs="Arial" w:eastAsia="Arial" w:hAnsi="Arial"/>
          <w:sz w:val="18"/>
          <w:szCs w:val="18"/>
          <w:color w:val="auto"/>
        </w:rPr>
        <w:t>. The Partnership and the Material Subsidiaries have such easements or rights-of-way (collectively, “</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rights-of-way</w:t>
      </w:r>
      <w:r>
        <w:rPr>
          <w:rFonts w:ascii="Arial" w:cs="Arial" w:eastAsia="Arial" w:hAnsi="Arial"/>
          <w:sz w:val="18"/>
          <w:szCs w:val="18"/>
          <w:color w:val="auto"/>
        </w:rPr>
        <w:t>”) as are</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conduct their business in the manner described, and subject to the limitations contained, in the</w:t>
      </w:r>
    </w:p>
    <w:p>
      <w:pPr>
        <w:spacing w:after="0" w:line="143"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4" w:name="page15"/>
    <w:bookmarkEnd w:id="14"/>
    <w:p>
      <w:pPr>
        <w:ind w:right="340"/>
        <w:spacing w:after="0" w:line="312" w:lineRule="auto"/>
        <w:rPr>
          <w:sz w:val="20"/>
          <w:szCs w:val="20"/>
          <w:color w:val="auto"/>
        </w:rPr>
      </w:pPr>
      <w:r>
        <w:rPr>
          <w:rFonts w:ascii="Arial" w:cs="Arial" w:eastAsia="Arial" w:hAnsi="Arial"/>
          <w:sz w:val="16"/>
          <w:szCs w:val="16"/>
          <w:color w:val="auto"/>
        </w:rPr>
        <w:t>Disclosure Package and the Final Prospectus, except for (i) qualifications, reservations and encumbrances that would not have, individually or in the aggregate, a Material Adverse Effect, (ii) such rights-of-way that, if not obtained, would not have, individually or in the aggregate, a Material Adverse Effect; and (iii) rights-of-way held by Affiliates of the Partnership as nominee for the benefit of the Partnership and the Material Subsidiaries.</w:t>
      </w:r>
    </w:p>
    <w:p>
      <w:pPr>
        <w:spacing w:after="0" w:line="39" w:lineRule="exact"/>
        <w:rPr>
          <w:sz w:val="20"/>
          <w:szCs w:val="20"/>
          <w:color w:val="auto"/>
        </w:rPr>
      </w:pPr>
    </w:p>
    <w:p>
      <w:pPr>
        <w:ind w:right="80" w:firstLine="221"/>
        <w:spacing w:after="0" w:line="259"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Ownership of Versado Business and Other Assets</w:t>
      </w:r>
      <w:r>
        <w:rPr>
          <w:rFonts w:ascii="Arial" w:cs="Arial" w:eastAsia="Arial" w:hAnsi="Arial"/>
          <w:sz w:val="18"/>
          <w:szCs w:val="18"/>
          <w:color w:val="auto"/>
        </w:rPr>
        <w:t>. Subject to the limitations and other provisions of the Purchase Agreement, the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will collectively own, directly or indirectly, at the closing of the transactions contemplated by the Purchase Agreement, a 63% limited liability company interest in Versado Gas Processors, L.L.C., a Delaware limited liability company, substantially as described in the Disclosure Package and the Final Prospectus.</w:t>
      </w:r>
    </w:p>
    <w:p>
      <w:pPr>
        <w:spacing w:after="0" w:line="78" w:lineRule="exact"/>
        <w:rPr>
          <w:rFonts w:ascii="Arial" w:cs="Arial" w:eastAsia="Arial" w:hAnsi="Arial"/>
          <w:sz w:val="18"/>
          <w:szCs w:val="18"/>
          <w:color w:val="auto"/>
        </w:rPr>
      </w:pPr>
    </w:p>
    <w:p>
      <w:pPr>
        <w:ind w:firstLine="221"/>
        <w:spacing w:after="0" w:line="264" w:lineRule="auto"/>
        <w:tabs>
          <w:tab w:leader="none" w:pos="54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Transfer Taxes</w:t>
      </w:r>
      <w:r>
        <w:rPr>
          <w:rFonts w:ascii="Arial" w:cs="Arial" w:eastAsia="Arial" w:hAnsi="Arial"/>
          <w:sz w:val="18"/>
          <w:szCs w:val="18"/>
          <w:color w:val="auto"/>
        </w:rPr>
        <w:t>. There are no transfer taxes or other similar fees or charges under Federal law or the laws of any state, or any political subdivision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required to be paid in connection with the execution and delivery of this Agreement or the issuance by the Partnership or sale by the Partnership of the Units.</w:t>
      </w:r>
    </w:p>
    <w:p>
      <w:pPr>
        <w:spacing w:after="0" w:line="73" w:lineRule="exact"/>
        <w:rPr>
          <w:rFonts w:ascii="Arial" w:cs="Arial" w:eastAsia="Arial" w:hAnsi="Arial"/>
          <w:sz w:val="18"/>
          <w:szCs w:val="18"/>
          <w:color w:val="auto"/>
        </w:rPr>
      </w:pPr>
    </w:p>
    <w:p>
      <w:pPr>
        <w:ind w:right="180" w:firstLine="221"/>
        <w:spacing w:after="0" w:line="273" w:lineRule="auto"/>
        <w:tabs>
          <w:tab w:leader="none" w:pos="57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Tax Returns</w:t>
      </w:r>
      <w:r>
        <w:rPr>
          <w:rFonts w:ascii="Arial" w:cs="Arial" w:eastAsia="Arial" w:hAnsi="Arial"/>
          <w:sz w:val="17"/>
          <w:szCs w:val="17"/>
          <w:color w:val="auto"/>
        </w:rPr>
        <w:t>. Each of the Partnership and the Material Subsidiaries has filed all foreign, Federal, state and local tax returns that are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filed or has requested extensions thereof, except in any case in which the failure so to file would not reasonably be expected to have a Material Adverse Effect except as set forth in or contemplated in the Disclosure Package and the Final Prospectus, and has paid all taxes required to be paid by it and any other assessment, fine or penalty levied against it, to the extent that any of the foregoing is due and payable, except for any such assessment, fine or penalty that is currently being contested in good faith or as would not reasonably be expected to have a Material Adverse Effect, except as set forth in or contemplated in the Disclosure Package and the Final Prospectus.</w:t>
      </w:r>
    </w:p>
    <w:p>
      <w:pPr>
        <w:spacing w:after="0" w:line="70" w:lineRule="exact"/>
        <w:rPr>
          <w:rFonts w:ascii="Arial" w:cs="Arial" w:eastAsia="Arial" w:hAnsi="Arial"/>
          <w:sz w:val="17"/>
          <w:szCs w:val="17"/>
          <w:color w:val="auto"/>
        </w:rPr>
      </w:pPr>
    </w:p>
    <w:p>
      <w:pPr>
        <w:ind w:right="20" w:firstLine="221"/>
        <w:spacing w:after="0" w:line="255" w:lineRule="auto"/>
        <w:tabs>
          <w:tab w:leader="none" w:pos="54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Partnership and the Material Subsidiaries carry or are entitled to the benefits of insurance relating to their assets, with financially</w:t>
      </w:r>
      <w:r>
        <w:rPr>
          <w:rFonts w:ascii="Arial" w:cs="Arial" w:eastAsia="Arial" w:hAnsi="Arial"/>
          <w:sz w:val="18"/>
          <w:szCs w:val="18"/>
          <w:i w:val="1"/>
          <w:iCs w:val="1"/>
          <w:color w:val="auto"/>
        </w:rPr>
        <w:t xml:space="preserve"> </w:t>
      </w:r>
      <w:r>
        <w:rPr>
          <w:rFonts w:ascii="Arial" w:cs="Arial" w:eastAsia="Arial" w:hAnsi="Arial"/>
          <w:sz w:val="18"/>
          <w:szCs w:val="18"/>
          <w:color w:val="auto"/>
        </w:rPr>
        <w:t>sound and reputable insurers, in such amounts and covering such risks as is commercially reasonable, and all such insurance is in full force and effect. The Partnership and the Material Subsidiaries have no reason to believe that they will not be able to (i) renew their existing insurance coverage relating to their respective assets as and when such policies expire or (ii) obtain comparable coverage relating to their respective assets from similar institutions as may be necessary or appropriate to conduct such business as now conducted and at a cost that would not reasonably be expected to have a Material Adverse Effect.</w:t>
      </w:r>
    </w:p>
    <w:p>
      <w:pPr>
        <w:spacing w:after="0" w:line="85" w:lineRule="exact"/>
        <w:rPr>
          <w:rFonts w:ascii="Arial" w:cs="Arial" w:eastAsia="Arial" w:hAnsi="Arial"/>
          <w:sz w:val="18"/>
          <w:szCs w:val="18"/>
          <w:color w:val="auto"/>
        </w:rPr>
      </w:pPr>
    </w:p>
    <w:p>
      <w:pPr>
        <w:ind w:right="140" w:firstLine="221"/>
        <w:spacing w:after="0" w:line="259" w:lineRule="auto"/>
        <w:tabs>
          <w:tab w:leader="none" w:pos="50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 Material Subsidiary is currently prohibited, directly or indirectly, from paying any distributions to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from making any other distribution on such Subsidiary’s equity interests, from repaying to the Partnership any loans or advances to such Subsidiary from the Partnership or from transferring any of such Subsidiary’s property or assets to the Partnership or any other Subsidiary of the Partnership, except (i) as described in or contemplated by the Disclosure Package and the</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ind w:right="60"/>
        <w:spacing w:after="0" w:line="264" w:lineRule="auto"/>
        <w:rPr>
          <w:sz w:val="20"/>
          <w:szCs w:val="20"/>
          <w:color w:val="auto"/>
        </w:rPr>
      </w:pPr>
      <w:r>
        <w:rPr>
          <w:rFonts w:ascii="Arial" w:cs="Arial" w:eastAsia="Arial" w:hAnsi="Arial"/>
          <w:sz w:val="18"/>
          <w:szCs w:val="18"/>
          <w:color w:val="auto"/>
        </w:rPr>
        <w:t>Final Prospectus, (ii) arising under the Credit Agreement, (iii) such prohibitions mandated by the laws of each such Subsidiary’s state of formation and the terms of any such Subsidiary’s governing instruments and (iv) where such prohibition would not reasonably be expected to have a Material Adverse Effect.</w:t>
      </w:r>
    </w:p>
    <w:p>
      <w:pPr>
        <w:spacing w:after="0" w:line="73" w:lineRule="exact"/>
        <w:rPr>
          <w:sz w:val="20"/>
          <w:szCs w:val="20"/>
          <w:color w:val="auto"/>
        </w:rPr>
      </w:pPr>
    </w:p>
    <w:p>
      <w:pPr>
        <w:ind w:right="40" w:firstLine="221"/>
        <w:spacing w:after="0" w:line="288" w:lineRule="auto"/>
        <w:tabs>
          <w:tab w:leader="none" w:pos="57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Possession of Licenses and Permits</w:t>
      </w:r>
      <w:r>
        <w:rPr>
          <w:rFonts w:ascii="Arial" w:cs="Arial" w:eastAsia="Arial" w:hAnsi="Arial"/>
          <w:sz w:val="16"/>
          <w:szCs w:val="16"/>
          <w:color w:val="auto"/>
        </w:rPr>
        <w:t>. The Partnership and the Material Subsidiaries possess such permits, licenses, approvals, consents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Federal, state, local or foreign regulatory agencies or bodies necessary to conduct their respective businesses, except where the failure so to possess would not reasonably be expected to result, singly or in the aggregate, in a Material Adverse Effect; the Partnership and the Material Subsidiaries are in compliance with the terms and conditions of all such Governmental Licenses, except where the failure so to comply would not reasonably be expected to result, singly or in the aggregate, in a Material Adverse Effect; all of the Governmental Licenses are valid and in full force and effect, except when the invalidity of such Governmental Licenses or the failure of such Governmental Licenses to be in full force and effect would not reasonably be expected to result, singly or in the aggregate, in a Material Adverse Effect; and, except as described in the Disclosure Package and the Final Prospectus, the Partnership and the Material Subsidiaries have not received any notice of proceedings relating to the revocation or modification of any such Governmental Licenses which, singly or in the aggregate, if the subject of an unfavorable decision, ruling or finding, would reasonably be expected to result in a Material Adverse Effect.</w:t>
      </w:r>
    </w:p>
    <w:p>
      <w:pPr>
        <w:spacing w:after="0" w:line="61" w:lineRule="exact"/>
        <w:rPr>
          <w:rFonts w:ascii="Arial" w:cs="Arial" w:eastAsia="Arial" w:hAnsi="Arial"/>
          <w:sz w:val="16"/>
          <w:szCs w:val="16"/>
          <w:color w:val="auto"/>
        </w:rPr>
      </w:pPr>
    </w:p>
    <w:p>
      <w:pPr>
        <w:ind w:firstLine="221"/>
        <w:spacing w:after="0" w:line="268" w:lineRule="auto"/>
        <w:tabs>
          <w:tab w:leader="none" w:pos="57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Environmental Laws</w:t>
      </w:r>
      <w:r>
        <w:rPr>
          <w:rFonts w:ascii="Arial" w:cs="Arial" w:eastAsia="Arial" w:hAnsi="Arial"/>
          <w:sz w:val="17"/>
          <w:szCs w:val="17"/>
          <w:color w:val="auto"/>
        </w:rPr>
        <w:t>. Each of the Partnership and the Material Subsidiaries (i) is in compliance with applicable Federal, state and local laws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relating to the prevention of pollution or protection of the environment or imposing liability or standards of conduct concerning any Hazardous Materials (as defined below)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all permits required of them under applicable Environmental Laws to conduct their respective businesses as presently conducted, (iii) is in compliance with all terms and conditions of any such permits and (iv) does not have any liability in connection with the release into the environment of any Hazardous Material, except where such noncompliance with Environmental Laws, failure to receive required permits, failure to comply with the terms and conditions of such permits or liability in connection with such releases would not reasonably be expected to have, individually or in the aggregate, a Material Adverse Effect. The term “</w:t>
      </w:r>
      <w:r>
        <w:rPr>
          <w:rFonts w:ascii="Arial" w:cs="Arial" w:eastAsia="Arial" w:hAnsi="Arial"/>
          <w:sz w:val="17"/>
          <w:szCs w:val="17"/>
          <w:u w:val="single" w:color="auto"/>
          <w:color w:val="auto"/>
        </w:rPr>
        <w:t>Hazardous Material</w:t>
      </w:r>
      <w:r>
        <w:rPr>
          <w:rFonts w:ascii="Arial" w:cs="Arial" w:eastAsia="Arial" w:hAnsi="Arial"/>
          <w:sz w:val="17"/>
          <w:szCs w:val="17"/>
          <w:color w:val="auto"/>
        </w:rPr>
        <w:t>” means (A) any “hazardous substance” as defined in the Comprehensive Environmental Response, Compensation and Liability Act of 1980, as amended, (B) any “hazardous waste” as defined in the Resource Conservation and Recovery Act, as amended, (C) any petroleum or petroleum product, (D) any polychlorinated biphenyl and (E) any pollutant or contaminant or hazardous, dangerous or toxic chemical, material, waste or substance regulated under or within the meaning of any applicable Environmental Law. In the ordinary course of business, the Partnership and the Material Subsidiaries periodically review the effect of Environmental Laws on their business, operations and properties, in the course of which they identify and evaluate costs and liabilities that are reasonably likely to be incurred pursuant to such Environmental Laws (including, without limitation, any capital or operating expenditures required for clean-up, closure of properties or compliance with Environmental Laws, or any permit, license</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or approval, any related constraints on operating activities and any potential liabilities to third parties). On the basis of such review, the Partnership and the Material Subsidiaries have reasonably concluded that such associated costs and liabilities would not reasonably be expected to have, singly or in the aggregate, a Material Adverse Effect.</w:t>
      </w:r>
    </w:p>
    <w:p>
      <w:pPr>
        <w:spacing w:after="0" w:line="73" w:lineRule="exact"/>
        <w:rPr>
          <w:sz w:val="20"/>
          <w:szCs w:val="20"/>
          <w:color w:val="auto"/>
        </w:rPr>
      </w:pPr>
    </w:p>
    <w:p>
      <w:pPr>
        <w:ind w:right="20" w:firstLine="221"/>
        <w:spacing w:after="0" w:line="272" w:lineRule="auto"/>
        <w:tabs>
          <w:tab w:leader="none" w:pos="49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ERISA</w:t>
      </w:r>
      <w:r>
        <w:rPr>
          <w:rFonts w:ascii="Arial" w:cs="Arial" w:eastAsia="Arial" w:hAnsi="Arial"/>
          <w:sz w:val="17"/>
          <w:szCs w:val="17"/>
          <w:color w:val="auto"/>
        </w:rPr>
        <w:t>. On the Closing Date and each settlement date, each Partnership and Material Subsidiary will be in compliance in all material respects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all presently applicable provisions of the Employee Retirement Income Security Act of 1974, as amended, including the regulations and published interpretations thereunder (“</w:t>
      </w:r>
      <w:r>
        <w:rPr>
          <w:rFonts w:ascii="Arial" w:cs="Arial" w:eastAsia="Arial" w:hAnsi="Arial"/>
          <w:sz w:val="17"/>
          <w:szCs w:val="17"/>
          <w:u w:val="single" w:color="auto"/>
          <w:color w:val="auto"/>
        </w:rPr>
        <w:t>ERISA</w:t>
      </w:r>
      <w:r>
        <w:rPr>
          <w:rFonts w:ascii="Arial" w:cs="Arial" w:eastAsia="Arial" w:hAnsi="Arial"/>
          <w:sz w:val="17"/>
          <w:szCs w:val="17"/>
          <w:color w:val="auto"/>
        </w:rPr>
        <w:t>”); no “reportable event” (as defined in ERISA) has occurred with respect to any “pension plan” (as defined in ERISA) for which any of the Partnership or a Material Subsidiary would have any liability, excluding any reportable event for which a waiver could apply; none of the Partnership or Material Subsidiaries expects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7"/>
          <w:szCs w:val="17"/>
          <w:u w:val="single" w:color="auto"/>
          <w:color w:val="auto"/>
        </w:rPr>
        <w:t>Code</w:t>
      </w:r>
      <w:r>
        <w:rPr>
          <w:rFonts w:ascii="Arial" w:cs="Arial" w:eastAsia="Arial" w:hAnsi="Arial"/>
          <w:sz w:val="17"/>
          <w:szCs w:val="17"/>
          <w:color w:val="auto"/>
        </w:rPr>
        <w:t>”). None of the Partnership or the Material Subsidiaries maintains a “pension plan.”</w:t>
      </w:r>
    </w:p>
    <w:p>
      <w:pPr>
        <w:spacing w:after="0" w:line="69" w:lineRule="exact"/>
        <w:rPr>
          <w:rFonts w:ascii="Arial" w:cs="Arial" w:eastAsia="Arial" w:hAnsi="Arial"/>
          <w:sz w:val="17"/>
          <w:szCs w:val="17"/>
          <w:color w:val="auto"/>
        </w:rPr>
      </w:pPr>
    </w:p>
    <w:p>
      <w:pPr>
        <w:ind w:firstLine="221"/>
        <w:spacing w:after="0" w:line="273" w:lineRule="auto"/>
        <w:tabs>
          <w:tab w:leader="none" w:pos="49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Description of Legal Proceedings and Contracts; Filing of Exhibits</w:t>
      </w:r>
      <w:r>
        <w:rPr>
          <w:rFonts w:ascii="Arial" w:cs="Arial" w:eastAsia="Arial" w:hAnsi="Arial"/>
          <w:sz w:val="17"/>
          <w:szCs w:val="17"/>
          <w:color w:val="auto"/>
        </w:rPr>
        <w:t>. There are no legal or governmental proceedings pending or,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Partnership, threatened or contemplated, against any of the Partnership or the Material Subsidiaries, or to which any of the Partnership or the Material Subsidiaries is a party, or to which any of their properties or assets is subject, that are required to be described in the Registration Statement or the Disclosure Package that are not described as required, and there are no agreements, contracts, indentures, leases or other instruments that are required to be described in the Registration Statement or the Disclosure Package or to be filed as an exhibit to the Registration Statement that are not described or filed as required by the Act or the Exchange Act or the rules and regulations thereunder.</w:t>
      </w:r>
    </w:p>
    <w:p>
      <w:pPr>
        <w:spacing w:after="0" w:line="70" w:lineRule="exact"/>
        <w:rPr>
          <w:rFonts w:ascii="Arial" w:cs="Arial" w:eastAsia="Arial" w:hAnsi="Arial"/>
          <w:sz w:val="17"/>
          <w:szCs w:val="17"/>
          <w:color w:val="auto"/>
        </w:rPr>
      </w:pPr>
    </w:p>
    <w:p>
      <w:pPr>
        <w:ind w:right="80" w:firstLine="221"/>
        <w:spacing w:after="0" w:line="264" w:lineRule="auto"/>
        <w:tabs>
          <w:tab w:leader="none" w:pos="5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Sarbanes-Oxley Act of 2002</w:t>
      </w:r>
      <w:r>
        <w:rPr>
          <w:rFonts w:ascii="Arial" w:cs="Arial" w:eastAsia="Arial" w:hAnsi="Arial"/>
          <w:sz w:val="18"/>
          <w:szCs w:val="18"/>
          <w:color w:val="auto"/>
        </w:rPr>
        <w:t>. On and after the Closing Date, the Partnership is in compliance in all material respects with all applicable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Sarbanes-Oxley Act of 2002, the rules and regulations promulgated in connection therewith and the rules of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that are effective and applicable to the Partnership.</w:t>
      </w:r>
    </w:p>
    <w:p>
      <w:pPr>
        <w:spacing w:after="0" w:line="73" w:lineRule="exact"/>
        <w:rPr>
          <w:rFonts w:ascii="Arial" w:cs="Arial" w:eastAsia="Arial" w:hAnsi="Arial"/>
          <w:sz w:val="18"/>
          <w:szCs w:val="18"/>
          <w:color w:val="auto"/>
        </w:rPr>
      </w:pPr>
    </w:p>
    <w:p>
      <w:pPr>
        <w:ind w:right="240" w:firstLine="221"/>
        <w:spacing w:after="0" w:line="259" w:lineRule="auto"/>
        <w:tabs>
          <w:tab w:leader="none" w:pos="49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None of the Partnership Entities is, nor after giving effect to the offering and sale of the Units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Disclosure Package and the Final Prospectus, will any of the Partnership Entities be, an “investment company” or a company “controlled by” an “investment company,” each as defined in the Investment Company Act of 1940, as amended (the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right="60" w:firstLine="221"/>
        <w:spacing w:after="0" w:line="286" w:lineRule="auto"/>
        <w:tabs>
          <w:tab w:leader="none" w:pos="67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Books and Records; Internal Controls</w:t>
      </w:r>
      <w:r>
        <w:rPr>
          <w:rFonts w:ascii="Arial" w:cs="Arial" w:eastAsia="Arial" w:hAnsi="Arial"/>
          <w:sz w:val="17"/>
          <w:szCs w:val="17"/>
          <w:color w:val="auto"/>
        </w:rPr>
        <w:t>. The Partnership and the Material Subsidiaries maintain a system of internal accounting controls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to provide reasonable assurance that (i) transactions are executed in accordance with management’s general or specific authorizations; (ii) transactions are recorded as necessary to permit preparation of financial statements in conformity with generally accepted accounting</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ind w:right="20"/>
        <w:spacing w:after="0" w:line="279" w:lineRule="auto"/>
        <w:rPr>
          <w:sz w:val="20"/>
          <w:szCs w:val="20"/>
          <w:color w:val="auto"/>
        </w:rPr>
      </w:pPr>
      <w:r>
        <w:rPr>
          <w:rFonts w:ascii="Arial" w:cs="Arial" w:eastAsia="Arial" w:hAnsi="Arial"/>
          <w:sz w:val="17"/>
          <w:szCs w:val="17"/>
          <w:color w:val="auto"/>
        </w:rPr>
        <w:t>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Partnership’s and the Material Subsidiaries’ internal controls over financial reporting are effective and none of the Partnership and the Material Subsidiaries are aware of any material weakness in its internal control over financial reporting.</w:t>
      </w:r>
    </w:p>
    <w:p>
      <w:pPr>
        <w:spacing w:after="0" w:line="63" w:lineRule="exact"/>
        <w:rPr>
          <w:sz w:val="20"/>
          <w:szCs w:val="20"/>
          <w:color w:val="auto"/>
        </w:rPr>
      </w:pPr>
    </w:p>
    <w:p>
      <w:pPr>
        <w:ind w:right="160" w:firstLine="221"/>
        <w:spacing w:after="0" w:line="293" w:lineRule="auto"/>
        <w:tabs>
          <w:tab w:leader="none" w:pos="57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(i) The Partnership has established and maintains disclosure controls and procedures (to the extent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and as such term is defined in Rule 13a-15 under the Exchange Act), (ii) such disclosure controls and procedures are designed to ensure that the information required to be disclosed by the Partnership in the reports filed or to be filed or submitted under the Exchange Act, as applicable, is accumulated and communicated to management of the General Partner,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 to the extent required by Rule 13a-15 of the Exchange Act.</w:t>
      </w:r>
    </w:p>
    <w:p>
      <w:pPr>
        <w:spacing w:after="0" w:line="56" w:lineRule="exact"/>
        <w:rPr>
          <w:rFonts w:ascii="Arial" w:cs="Arial" w:eastAsia="Arial" w:hAnsi="Arial"/>
          <w:sz w:val="16"/>
          <w:szCs w:val="16"/>
          <w:color w:val="auto"/>
        </w:rPr>
      </w:pPr>
    </w:p>
    <w:p>
      <w:pPr>
        <w:ind w:right="260" w:firstLine="221"/>
        <w:spacing w:after="0" w:line="264" w:lineRule="auto"/>
        <w:tabs>
          <w:tab w:leader="none" w:pos="57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None of the Partnership or the Material Subsidiaries has taken, nor will any of them take, directly or indirectly,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constitute or that might be reasonably expected to result in, stabilization or manipulation of the price of any security of the Partnership to facilitate the sale or resale of the Units.</w:t>
      </w:r>
    </w:p>
    <w:p>
      <w:pPr>
        <w:spacing w:after="0" w:line="73" w:lineRule="exact"/>
        <w:rPr>
          <w:rFonts w:ascii="Arial" w:cs="Arial" w:eastAsia="Arial" w:hAnsi="Arial"/>
          <w:sz w:val="18"/>
          <w:szCs w:val="18"/>
          <w:color w:val="auto"/>
        </w:rPr>
      </w:pPr>
    </w:p>
    <w:p>
      <w:pPr>
        <w:ind w:firstLine="221"/>
        <w:spacing w:after="0" w:line="289" w:lineRule="auto"/>
        <w:tabs>
          <w:tab w:leader="none" w:pos="57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None of the Partnership, the Material Subsidiaries or, to the knowledge of the Partnership, any director,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employee or affiliate of the Partnership or the Material Subsidiaries (in their capacity as directors, officers, agents or employees) is aware of or has taken any action, directly or indirectly, that would result in a violation by such Persons of the Foreign Corrupt Practices Act of 1977, as amended, and the rules and regulations thereunder (collectively, the “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Partnership, the Material Subsidiaries and, to the knowledge of the Partnership, their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right="140" w:firstLine="221"/>
        <w:spacing w:after="0" w:line="264" w:lineRule="auto"/>
        <w:tabs>
          <w:tab w:leader="none" w:pos="57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The operations of the Partnership and the Material Subsidiaries are and have been conducted at all times in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applicable financial recordkeeping and reporting requirements of the Currency and Foreign Transactions Reporting Act of 1970, as amended, the money laundering statutes</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8" w:name="page19"/>
    <w:bookmarkEnd w:id="18"/>
    <w:p>
      <w:pPr>
        <w:ind w:left="240" w:right="60"/>
        <w:spacing w:after="0" w:line="279" w:lineRule="auto"/>
        <w:rPr>
          <w:sz w:val="20"/>
          <w:szCs w:val="20"/>
          <w:color w:val="auto"/>
        </w:rPr>
      </w:pPr>
      <w:r>
        <w:rPr>
          <w:rFonts w:ascii="Arial" w:cs="Arial" w:eastAsia="Arial" w:hAnsi="Arial"/>
          <w:sz w:val="17"/>
          <w:szCs w:val="17"/>
          <w:color w:val="auto"/>
        </w:rPr>
        <w:t>of all jurisdictions, the U.S. PATRIOT Act,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any of the Partnership or the Material Subsidiaries or the General Partner with respect to the Money Laundering Laws is pending or, to the best knowledge of the Partnership, threatened.</w:t>
      </w:r>
    </w:p>
    <w:p>
      <w:pPr>
        <w:spacing w:after="0" w:line="63" w:lineRule="exact"/>
        <w:rPr>
          <w:sz w:val="20"/>
          <w:szCs w:val="20"/>
          <w:color w:val="auto"/>
        </w:rPr>
      </w:pPr>
    </w:p>
    <w:p>
      <w:pPr>
        <w:jc w:val="both"/>
        <w:ind w:left="240" w:firstLine="221"/>
        <w:spacing w:after="0" w:line="286" w:lineRule="auto"/>
        <w:tabs>
          <w:tab w:leader="none" w:pos="75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Office of Foreign Assets Control</w:t>
      </w:r>
      <w:r>
        <w:rPr>
          <w:rFonts w:ascii="Arial" w:cs="Arial" w:eastAsia="Arial" w:hAnsi="Arial"/>
          <w:sz w:val="17"/>
          <w:szCs w:val="17"/>
          <w:color w:val="auto"/>
        </w:rPr>
        <w:t>. None of the Partnership, Material Subsidiaries or, to the knowledge of the Partnership, any director, officer,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or affiliate of the Partnership or the Material Subsidiaries (in their capacity as directors, officers, agents or employees) is currently subject to any U.S. sanctions administered by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40" w:right="40" w:firstLine="221"/>
        <w:spacing w:after="0" w:line="302" w:lineRule="auto"/>
        <w:tabs>
          <w:tab w:leader="none" w:pos="77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No Distribution of Other Offering Materials</w:t>
      </w:r>
      <w:r>
        <w:rPr>
          <w:rFonts w:ascii="Arial" w:cs="Arial" w:eastAsia="Arial" w:hAnsi="Arial"/>
          <w:sz w:val="16"/>
          <w:szCs w:val="16"/>
          <w:color w:val="auto"/>
        </w:rPr>
        <w:t>. Neither of the Partnership, the General Partner or the Material Subsidiaries has distributed and,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later to occur of the Closing Date or any settlement date and completion of the distribution of the Units, will distribute any offering material in connection with the offering and sale of the Units other than any Preliminary Final Prospectus, the Final Prospectus, any Issuer Free Writing Prospectus to which the Representative has consented in accordance with this Agreement, any other materials, if any, permitted by the Act, including Rule 134.</w:t>
      </w:r>
    </w:p>
    <w:p>
      <w:pPr>
        <w:spacing w:after="0" w:line="46" w:lineRule="exact"/>
        <w:rPr>
          <w:rFonts w:ascii="Arial" w:cs="Arial" w:eastAsia="Arial" w:hAnsi="Arial"/>
          <w:sz w:val="16"/>
          <w:szCs w:val="16"/>
          <w:color w:val="auto"/>
        </w:rPr>
      </w:pPr>
    </w:p>
    <w:p>
      <w:pPr>
        <w:ind w:left="720" w:hanging="25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Listing on the NYSE</w:t>
      </w:r>
      <w:r>
        <w:rPr>
          <w:rFonts w:ascii="Arial" w:cs="Arial" w:eastAsia="Arial" w:hAnsi="Arial"/>
          <w:sz w:val="18"/>
          <w:szCs w:val="18"/>
          <w:color w:val="auto"/>
        </w:rPr>
        <w:t>. On or prior to the Closing Date, the Firm Units will have been approved to be listed on the NYSE.</w:t>
      </w:r>
    </w:p>
    <w:p>
      <w:pPr>
        <w:spacing w:after="0" w:line="117" w:lineRule="exact"/>
        <w:rPr>
          <w:sz w:val="20"/>
          <w:szCs w:val="20"/>
          <w:color w:val="auto"/>
        </w:rPr>
      </w:pPr>
    </w:p>
    <w:p>
      <w:pPr>
        <w:ind w:right="120" w:firstLine="440"/>
        <w:spacing w:after="0" w:line="264" w:lineRule="auto"/>
        <w:rPr>
          <w:sz w:val="20"/>
          <w:szCs w:val="20"/>
          <w:color w:val="auto"/>
        </w:rPr>
      </w:pPr>
      <w:r>
        <w:rPr>
          <w:rFonts w:ascii="Arial" w:cs="Arial" w:eastAsia="Arial" w:hAnsi="Arial"/>
          <w:sz w:val="18"/>
          <w:szCs w:val="18"/>
          <w:color w:val="auto"/>
        </w:rPr>
        <w:t>Any certificate signed by any officer of the General Partner on behalf of the Partnership and delivered to the Representatives or counsel for the Underwriters in connection with the offering of the Units shall be deemed a representation and warranty by the Partnership, as to matters covered thereby, to each Underwriter.</w:t>
      </w:r>
    </w:p>
    <w:p>
      <w:pPr>
        <w:spacing w:after="0" w:line="73" w:lineRule="exact"/>
        <w:rPr>
          <w:sz w:val="20"/>
          <w:szCs w:val="20"/>
          <w:color w:val="auto"/>
        </w:rPr>
      </w:pPr>
    </w:p>
    <w:p>
      <w:pPr>
        <w:ind w:left="240" w:right="160" w:firstLine="221"/>
        <w:spacing w:after="0" w:line="286" w:lineRule="auto"/>
        <w:tabs>
          <w:tab w:leader="none" w:pos="6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(a) Subject to the terms and conditions and in reliance upon the representations and warranties herein set forth, the Partnership agrees to sell to each Underwriter, and each Underwriter agrees, severally and not jointly, to purchase from the Partnership, at a purchase price of $23.82 per unit, the amount of the Firm Units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57" w:lineRule="exact"/>
        <w:rPr>
          <w:sz w:val="20"/>
          <w:szCs w:val="20"/>
          <w:color w:val="auto"/>
        </w:rPr>
      </w:pPr>
    </w:p>
    <w:p>
      <w:pPr>
        <w:ind w:left="240" w:right="60" w:firstLine="221"/>
        <w:spacing w:after="0" w:line="273"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Partnership hereby grants an option to the several Underwriters to purchase, severally and not jointly, up to 975,000 Option Units at the same purchase price per unit as the Underwriters shall pay for the Firm Units. Said option may be exercised only to cover over-allotments in the sale of the Firm Units by the Underwriters. Said option may be exercised in whole or in part at any time on or before the 30th day after the date of the Final Prospectus upon written or telegraphic notice by the Representatives to the Partnership setting forth the number of Option Units as to which the several Underwriters are exercising the option and the settlement date. The number of Option Units to be purchased by each Underwriter shall be the same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left="240"/>
        <w:spacing w:after="0" w:line="277" w:lineRule="auto"/>
        <w:rPr>
          <w:sz w:val="20"/>
          <w:szCs w:val="20"/>
          <w:color w:val="auto"/>
        </w:rPr>
      </w:pPr>
      <w:r>
        <w:rPr>
          <w:rFonts w:ascii="Arial" w:cs="Arial" w:eastAsia="Arial" w:hAnsi="Arial"/>
          <w:sz w:val="18"/>
          <w:szCs w:val="18"/>
          <w:color w:val="auto"/>
        </w:rPr>
        <w:t>percentage of the total number of Option Units to be purchased by the several Underwriters as such Underwriter is purchasing of the Firm Units, subject to such adjustments as the Representatives in their absolute discretion shall make to eliminate any fractional Common Units.</w:t>
      </w:r>
    </w:p>
    <w:p>
      <w:pPr>
        <w:spacing w:after="0" w:line="62" w:lineRule="exact"/>
        <w:rPr>
          <w:sz w:val="20"/>
          <w:szCs w:val="20"/>
          <w:color w:val="auto"/>
        </w:rPr>
      </w:pPr>
    </w:p>
    <w:p>
      <w:pPr>
        <w:ind w:firstLine="458"/>
        <w:spacing w:after="0" w:line="271" w:lineRule="auto"/>
        <w:tabs>
          <w:tab w:leader="none" w:pos="63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Firm Units and the Option Units (if the option provided for in Section 2(b) hereof shall have been exercised on or before the third Business Day immediately preceding the Closing Date) shall be made at 10:00 AM, New York City time, on August 13, 2010, or at such time on such later date not more than three Business Days after the foregoing date as the Representatives shall designate, which date and time may be postponed by agreement between the Representatives and the Partnership or as provided in Section 9 hereof (such date and time of delivery and payment for the Units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Units shall be made to the Representatives for the respective accounts of the several Underwriters against payment by the several Underwriters through the Representatives of the purchase price thereof to or upon the order of the Partnership by wire transfer payable in same-day funds to an account specified by the Partnership. Delivery of the Firm Units and the Option Units shall be made through the facilities of DTC unless the Representatives shall otherwise instruct.</w:t>
      </w:r>
    </w:p>
    <w:p>
      <w:pPr>
        <w:spacing w:after="0" w:line="71"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color w:val="auto"/>
        </w:rPr>
        <w:t>If the option provided for in Section 2(b) hereof is exercised after the third Business Day immediately preceding the Closing Date, the Partnership will deliver the Option Units (at the expense of the Partnership) to the Representatives, at 375 Park Avenue, 4th Floor,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Partnership by wire transfer payable in same-day funds to an account specified by the Partnership. If settlement for the Option Units occurs after the Closing Date, the Partnership will deliver to the Representatives on the settlement date for the Option Units, and the obligation of the Underwriters to purchase the Option Units shall be conditioned upon receipt of, supplemental opinions, certificates and letters confirming as of such date the opinions, certificates and letters delivered on the Closing Date pursuant to Section 6 hereof.</w:t>
      </w:r>
    </w:p>
    <w:p>
      <w:pPr>
        <w:spacing w:after="0" w:line="71" w:lineRule="exact"/>
        <w:rPr>
          <w:sz w:val="20"/>
          <w:szCs w:val="20"/>
          <w:color w:val="auto"/>
        </w:rPr>
      </w:pPr>
    </w:p>
    <w:p>
      <w:pPr>
        <w:ind w:right="480" w:firstLine="458"/>
        <w:spacing w:after="0" w:line="277" w:lineRule="auto"/>
        <w:tabs>
          <w:tab w:leader="none" w:pos="63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Units for sale to the public as set forth in the Final Prospectus.</w:t>
      </w:r>
    </w:p>
    <w:p>
      <w:pPr>
        <w:spacing w:after="0" w:line="62" w:lineRule="exact"/>
        <w:rPr>
          <w:rFonts w:ascii="Arial" w:cs="Arial" w:eastAsia="Arial" w:hAnsi="Arial"/>
          <w:sz w:val="18"/>
          <w:szCs w:val="18"/>
          <w:color w:val="auto"/>
        </w:rPr>
      </w:pPr>
    </w:p>
    <w:p>
      <w:pPr>
        <w:ind w:left="640" w:hanging="182"/>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Partnership agrees with the several Underwriters that:</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2"/>
          <w:numId w:val="21"/>
        </w:numPr>
        <w:rPr>
          <w:rFonts w:ascii="Arial" w:cs="Arial" w:eastAsia="Arial" w:hAnsi="Arial"/>
          <w:sz w:val="17"/>
          <w:szCs w:val="17"/>
          <w:color w:val="auto"/>
        </w:rPr>
      </w:pPr>
      <w:r>
        <w:rPr>
          <w:rFonts w:ascii="Arial" w:cs="Arial" w:eastAsia="Arial" w:hAnsi="Arial"/>
          <w:sz w:val="17"/>
          <w:szCs w:val="17"/>
          <w:i w:val="1"/>
          <w:iCs w:val="1"/>
          <w:color w:val="auto"/>
        </w:rPr>
        <w:t>Preparation of Final Prospectus and Registration Statement</w:t>
      </w:r>
      <w:r>
        <w:rPr>
          <w:rFonts w:ascii="Arial" w:cs="Arial" w:eastAsia="Arial" w:hAnsi="Arial"/>
          <w:sz w:val="17"/>
          <w:szCs w:val="17"/>
          <w:color w:val="auto"/>
        </w:rPr>
        <w:t>. Prior to the termination of the offering of the Units, the Partnership will not file any</w:t>
      </w:r>
    </w:p>
    <w:p>
      <w:pPr>
        <w:spacing w:after="0" w:line="34" w:lineRule="exact"/>
        <w:rPr>
          <w:rFonts w:ascii="Arial" w:cs="Arial" w:eastAsia="Arial" w:hAnsi="Arial"/>
          <w:sz w:val="17"/>
          <w:szCs w:val="17"/>
          <w:color w:val="auto"/>
        </w:rPr>
      </w:pPr>
    </w:p>
    <w:p>
      <w:pPr>
        <w:ind w:left="240" w:right="60" w:hanging="4"/>
        <w:spacing w:after="0" w:line="295" w:lineRule="auto"/>
        <w:tabs>
          <w:tab w:leader="none" w:pos="4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amendment of the Registration Statement, (ii) supplement to the Final Prospectus or (iii) Rule 462(b) Registration Statement unless the Partnership has furnished the Representatives a copy for their review prior to filing and will not file any such proposed amendment, supplement or filing to which the Representatives reasonably object, unless the Partnership shall have determined based upon the advice of counsel that such amendment, supplement or filing is required by law. The Partnership will cause the Final Prospectus, properly completed, and any supplement thereto to be filed in a form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t>approved by the Representatives with the Commission pursuant to the applicable paragraph of Rule 424(b) within the time period prescribed. The Partnership will promptly advise the Representatives (i) when the Final Prospectus, and any supplement thereto, shall have been filed (if required) with the Commission pursuant to Rule 424(b) or when any Rule 462(b) Registration Statement shall have been filed with the Commission, (ii) when, prior to termination of the offering of the Units,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best efforts to have such amendment or new registration statement declared effective as soon as practicable.</w:t>
      </w:r>
    </w:p>
    <w:p>
      <w:pPr>
        <w:spacing w:after="0" w:line="80" w:lineRule="exact"/>
        <w:rPr>
          <w:sz w:val="20"/>
          <w:szCs w:val="20"/>
          <w:color w:val="auto"/>
        </w:rPr>
      </w:pPr>
    </w:p>
    <w:p>
      <w:pPr>
        <w:ind w:right="20" w:firstLine="221"/>
        <w:spacing w:after="0" w:line="255"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Amendment or Supplement of Disclosure Package and Issuer Free Writing Prospectuses</w:t>
      </w:r>
      <w:r>
        <w:rPr>
          <w:rFonts w:ascii="Arial" w:cs="Arial" w:eastAsia="Arial" w:hAnsi="Arial"/>
          <w:sz w:val="18"/>
          <w:szCs w:val="18"/>
          <w:color w:val="auto"/>
        </w:rPr>
        <w:t>. If there occurs an event or development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(i) the Disclosure Package or any Issuer Free Writing Prospectus would include any untrue statement of a material fact or omit to state any material fact necessary to make the statements therein, in the light of the circumstances under which they were made at such time, not misleading, the Partnership will (i) notify promptly the Representatives so that any use of the Disclosure Package or the Issuer Free Writing Prospectus, as the case may be, may cease until it is amended or supplemented; (ii) amend or supplement the Disclosure Package or the Issuer Free Writing Prospectus, as the case may be, to correct such statement, omission or conflict; and (iii) supply any amendment or supplement to the Representatives in such quantities as they may reasonably request.</w:t>
      </w:r>
    </w:p>
    <w:p>
      <w:pPr>
        <w:spacing w:after="0" w:line="81" w:lineRule="exact"/>
        <w:rPr>
          <w:rFonts w:ascii="Arial" w:cs="Arial" w:eastAsia="Arial" w:hAnsi="Arial"/>
          <w:sz w:val="18"/>
          <w:szCs w:val="18"/>
          <w:color w:val="auto"/>
        </w:rPr>
      </w:pPr>
    </w:p>
    <w:p>
      <w:pPr>
        <w:ind w:right="80" w:firstLine="221"/>
        <w:spacing w:after="0" w:line="291" w:lineRule="auto"/>
        <w:tabs>
          <w:tab w:leader="none" w:pos="47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Amendment of Registration Statement or Supplement of Prospectus</w:t>
      </w:r>
      <w:r>
        <w:rPr>
          <w:rFonts w:ascii="Arial" w:cs="Arial" w:eastAsia="Arial" w:hAnsi="Arial"/>
          <w:sz w:val="16"/>
          <w:szCs w:val="16"/>
          <w:color w:val="auto"/>
        </w:rPr>
        <w:t>. If, at any time when a prospectus relating to the Units is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Act or the rules thereunder, the Partnership promptly will (i) notify the Representatives of any such event; (ii) prepare and file with the Commission, subject to the second sentence of paragraph (a) of this Section 5, an amendment or supplement or new registration statement which will correct</w:t>
      </w:r>
    </w:p>
    <w:p>
      <w:pPr>
        <w:spacing w:after="0" w:line="1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such statement or omission or effect such compliance; and (iii) supply any supplemented Final Prospectus to the Representatives in such quantities as they may reasonably request.</w:t>
      </w:r>
    </w:p>
    <w:p>
      <w:pPr>
        <w:spacing w:after="0" w:line="62" w:lineRule="exact"/>
        <w:rPr>
          <w:sz w:val="20"/>
          <w:szCs w:val="20"/>
          <w:color w:val="auto"/>
        </w:rPr>
      </w:pPr>
    </w:p>
    <w:p>
      <w:pPr>
        <w:ind w:right="260" w:firstLine="221"/>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Reports to Unitholders</w:t>
      </w:r>
      <w:r>
        <w:rPr>
          <w:rFonts w:ascii="Arial" w:cs="Arial" w:eastAsia="Arial" w:hAnsi="Arial"/>
          <w:sz w:val="18"/>
          <w:szCs w:val="18"/>
          <w:color w:val="auto"/>
        </w:rPr>
        <w:t>. The Partnership will make generally available to its unitholders and to the Representatives an earnings statement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the Partnership and its subsidiaries which will satisfy, on a timely basis, the provisions of Section 11(a) of the Act and Rule 158 under the Act.</w:t>
      </w:r>
    </w:p>
    <w:p>
      <w:pPr>
        <w:spacing w:after="0" w:line="73" w:lineRule="exact"/>
        <w:rPr>
          <w:rFonts w:ascii="Arial" w:cs="Arial" w:eastAsia="Arial" w:hAnsi="Arial"/>
          <w:sz w:val="18"/>
          <w:szCs w:val="18"/>
          <w:color w:val="auto"/>
        </w:rPr>
      </w:pPr>
    </w:p>
    <w:p>
      <w:pPr>
        <w:ind w:right="20" w:firstLine="221"/>
        <w:spacing w:after="0" w:line="297" w:lineRule="auto"/>
        <w:tabs>
          <w:tab w:leader="none" w:pos="47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Signed Copies of the Registration Statement and Copies of the Final Prospectus</w:t>
      </w:r>
      <w:r>
        <w:rPr>
          <w:rFonts w:ascii="Arial" w:cs="Arial" w:eastAsia="Arial" w:hAnsi="Arial"/>
          <w:sz w:val="16"/>
          <w:szCs w:val="16"/>
          <w:color w:val="auto"/>
        </w:rPr>
        <w:t>. The Partnership will furnish to each of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upon request and without charge, one copy of the executed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Final Prospectus, the Final Prospectus and each Issuer Free Writing Prospectus and any supplement thereto as the Representatives may reasonably request.</w:t>
      </w:r>
    </w:p>
    <w:p>
      <w:pPr>
        <w:spacing w:after="0" w:line="50" w:lineRule="exact"/>
        <w:rPr>
          <w:rFonts w:ascii="Arial" w:cs="Arial" w:eastAsia="Arial" w:hAnsi="Arial"/>
          <w:sz w:val="16"/>
          <w:szCs w:val="16"/>
          <w:color w:val="auto"/>
        </w:rPr>
      </w:pPr>
    </w:p>
    <w:p>
      <w:pPr>
        <w:ind w:right="20" w:firstLine="221"/>
        <w:spacing w:after="0" w:line="257" w:lineRule="auto"/>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Qualification of Units in Certain Jurisdictions</w:t>
      </w:r>
      <w:r>
        <w:rPr>
          <w:rFonts w:ascii="Arial" w:cs="Arial" w:eastAsia="Arial" w:hAnsi="Arial"/>
          <w:sz w:val="18"/>
          <w:szCs w:val="18"/>
          <w:color w:val="auto"/>
        </w:rPr>
        <w:t>. The Partnership will arrange, if necessary, for the qualification of the Units for sale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jurisdictions as the Representatives may designate and will maintain such qualifications in effect so long as required for the distribution of the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w:t>
      </w:r>
    </w:p>
    <w:p>
      <w:pPr>
        <w:spacing w:after="0" w:line="80" w:lineRule="exact"/>
        <w:rPr>
          <w:rFonts w:ascii="Arial" w:cs="Arial" w:eastAsia="Arial" w:hAnsi="Arial"/>
          <w:sz w:val="18"/>
          <w:szCs w:val="18"/>
          <w:color w:val="auto"/>
        </w:rPr>
      </w:pPr>
    </w:p>
    <w:p>
      <w:pPr>
        <w:ind w:firstLine="221"/>
        <w:spacing w:after="0" w:line="269"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Lock-Up Period</w:t>
      </w:r>
      <w:r>
        <w:rPr>
          <w:rFonts w:ascii="Arial" w:cs="Arial" w:eastAsia="Arial" w:hAnsi="Arial"/>
          <w:sz w:val="17"/>
          <w:szCs w:val="17"/>
          <w:color w:val="auto"/>
        </w:rPr>
        <w:t>. The Partnership will not, without the prior written consent of Wells Fargo Securities, LLC, offer, sell, contract to sell, pledge,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dispose of, (or enter into any transaction which is designed to, or might reasonably be expected to, result in the disposition (whether by actual disposition or effective economic disposition due to cash settlement or otherwise) by the Partnership, and each executive officer and director of the General Partner)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Common Units or any securities convertible into, or exercisable, or exchangeable for, Common Units, or publicly announce an intention to effect any such transaction, for a period of 45 days after the date of the Underwriting Agreement (the “</w:t>
      </w: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the Partnership may issue and sell the Units, (ii) the Partnership may issue and sell Common Units pursuant to any employee benefit plan of the Partnership in effect at the Execution Time, (iii) the Partnership may issue Common Units issuable upon the conversion, vesting or exercise of securities or the exercise of warrants outstanding at the Execution Time, (iv) the Partnership may issue Common Units or any securities convertible or exchangeable into Common Units as payment of any part of the purchase price for businesses that are acquired by the Partnership and its affiliates or any third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third-party recipient of such Common Units must agree in</w:t>
      </w:r>
    </w:p>
    <w:p>
      <w:pPr>
        <w:spacing w:after="0" w:line="15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t>writing to be bound by the terms of this Section 5(g) for any remaining term of the Lock-Up Period and (vi) the Partnership Entities may file one or more shelf registration statements on Form S-3, including an automatic shelf registration statement, provided that the Partnership shall otherwise remain subject to the restrictions set forth in this Section 5(g) with respect to any Common Units or any securities convertible into, or exercisable or exchangeable for, Common Units registered thereunder.</w:t>
      </w:r>
    </w:p>
    <w:p>
      <w:pPr>
        <w:spacing w:after="0" w:line="79" w:lineRule="exact"/>
        <w:rPr>
          <w:sz w:val="20"/>
          <w:szCs w:val="20"/>
          <w:color w:val="auto"/>
        </w:rPr>
      </w:pPr>
    </w:p>
    <w:p>
      <w:pPr>
        <w:ind w:firstLine="221"/>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Price Manipulation</w:t>
      </w:r>
      <w:r>
        <w:rPr>
          <w:rFonts w:ascii="Arial" w:cs="Arial" w:eastAsia="Arial" w:hAnsi="Arial"/>
          <w:sz w:val="18"/>
          <w:szCs w:val="18"/>
          <w:color w:val="auto"/>
        </w:rPr>
        <w:t>. The Partnership will not take, directly or indirectly, any action designed to or that would constitute or that might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under the Exchange Act or otherwise, stabilization or manipulation of the price of any security of the Partnership to facilitate the sale or resale of the Units.</w:t>
      </w:r>
    </w:p>
    <w:p>
      <w:pPr>
        <w:spacing w:after="0" w:line="73" w:lineRule="exact"/>
        <w:rPr>
          <w:rFonts w:ascii="Arial" w:cs="Arial" w:eastAsia="Arial" w:hAnsi="Arial"/>
          <w:sz w:val="18"/>
          <w:szCs w:val="18"/>
          <w:color w:val="auto"/>
        </w:rPr>
      </w:pPr>
    </w:p>
    <w:p>
      <w:pPr>
        <w:ind w:right="20" w:firstLine="221"/>
        <w:spacing w:after="0" w:line="286"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Partnership agrees to pay the costs and expenses relating to the following matters: (i) the preparation, printing or reproduction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filing with the Commission of the Registration Statement (including financial statements and exhibits thereto), each Preliminary Final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Final Prospectus, the Final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counsel for the Underwriters relating to such registration and qualification); (vii) any filing fees in connection with any filings required to be made with the Financial Industry Regulatory Authority, Inc.; (viii) the transportation and other expenses incurred by or on behalf of the Partnership’s representatives in connection with presentations to prospective purchasers of the Units; (ix) the fees and expenses of the Partnership’s accountants and the fees and expenses of counsel (including local and special counsel) for the Partnership; and (x) all other costs and expenses incident to the performance by the Partnership of its obligations hereunder.</w:t>
      </w:r>
    </w:p>
    <w:p>
      <w:pPr>
        <w:spacing w:after="0" w:line="6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It is understood, however, that except as otherwise provided in this Section 5 or in Section 7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spacing w:after="0" w:line="1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3" w:name="page24"/>
    <w:bookmarkEnd w:id="23"/>
    <w:p>
      <w:pPr>
        <w:ind w:left="220" w:firstLine="221"/>
        <w:spacing w:after="0" w:line="270"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Partnership agrees that, unless it has or shall have obtained the prior written consent of the Representatives,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 severally and not jointly, agrees with the Partnership that, unless it has or shall have obtained,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prior written consent of the parties hereto shall be deemed to have been given in respect of the Free Writing Prospectuses included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if any, and any electronic road show. Any such free writing prospectus consented to by the Representatives or the Partnership is hereinafter referred to as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The Partnership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69" w:lineRule="exact"/>
        <w:rPr>
          <w:rFonts w:ascii="Arial" w:cs="Arial" w:eastAsia="Arial" w:hAnsi="Arial"/>
          <w:sz w:val="17"/>
          <w:szCs w:val="17"/>
          <w:color w:val="auto"/>
        </w:rPr>
      </w:pPr>
    </w:p>
    <w:p>
      <w:pPr>
        <w:ind w:left="-20" w:right="20" w:firstLine="458"/>
        <w:spacing w:after="0" w:line="302" w:lineRule="auto"/>
        <w:tabs>
          <w:tab w:leader="none" w:pos="6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Firm Units and the Option Units, as the case may be, shall be subject to the accuracy of the representations and warranties on the part of the Partnership contained herein as of the Execution Time, the Closing Date and any settlement date pursuant to Section 3 hereof, to the accuracy of the statements of the Partnership made in any certificates pursuant to the provisions hereof, to the performance by the Partnership of its obligations hereunder and to the following additional conditions:</w:t>
      </w:r>
    </w:p>
    <w:p>
      <w:pPr>
        <w:spacing w:after="0" w:line="46" w:lineRule="exact"/>
        <w:rPr>
          <w:rFonts w:ascii="Arial" w:cs="Arial" w:eastAsia="Arial" w:hAnsi="Arial"/>
          <w:sz w:val="16"/>
          <w:szCs w:val="16"/>
          <w:color w:val="auto"/>
        </w:rPr>
      </w:pPr>
    </w:p>
    <w:p>
      <w:pPr>
        <w:ind w:left="220" w:firstLine="221"/>
        <w:spacing w:after="0" w:line="279" w:lineRule="auto"/>
        <w:tabs>
          <w:tab w:leader="none" w:pos="6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Final Prospectus, and any supplement thereto, have been filed in the manner and within the time period required by Rule 424(b);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63" w:lineRule="exact"/>
        <w:rPr>
          <w:rFonts w:ascii="Arial" w:cs="Arial" w:eastAsia="Arial" w:hAnsi="Arial"/>
          <w:sz w:val="17"/>
          <w:szCs w:val="17"/>
          <w:color w:val="auto"/>
        </w:rPr>
      </w:pPr>
    </w:p>
    <w:p>
      <w:pPr>
        <w:ind w:left="220" w:right="120" w:firstLine="221"/>
        <w:spacing w:after="0" w:line="277"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Partnership shall have requested and caused Vinson &amp; Elkins L.L.P., counsel for the Partnership,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680" w:right="40" w:firstLine="443"/>
        <w:spacing w:after="0" w:line="257" w:lineRule="auto"/>
        <w:tabs>
          <w:tab w:leader="none" w:pos="1345" w:val="left"/>
        </w:tabs>
        <w:numPr>
          <w:ilvl w:val="2"/>
          <w:numId w:val="27"/>
        </w:numPr>
        <w:rPr>
          <w:rFonts w:ascii="Arial" w:cs="Arial" w:eastAsia="Arial" w:hAnsi="Arial"/>
          <w:sz w:val="18"/>
          <w:szCs w:val="18"/>
          <w:color w:val="auto"/>
        </w:rPr>
      </w:pPr>
      <w:r>
        <w:rPr>
          <w:rFonts w:ascii="Arial" w:cs="Arial" w:eastAsia="Arial" w:hAnsi="Arial"/>
          <w:sz w:val="18"/>
          <w:szCs w:val="18"/>
          <w:i w:val="1"/>
          <w:iCs w:val="1"/>
          <w:color w:val="auto"/>
        </w:rPr>
        <w:t>Formation and Qualification</w:t>
      </w:r>
      <w:r>
        <w:rPr>
          <w:rFonts w:ascii="Arial" w:cs="Arial" w:eastAsia="Arial" w:hAnsi="Arial"/>
          <w:sz w:val="18"/>
          <w:szCs w:val="18"/>
          <w:color w:val="auto"/>
        </w:rPr>
        <w:t>. Each of the Partnership, the General Partner and the Material Subsidiaries (other than Targa Liquids</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Trade, a Delaware general partnership, and Targa Canada Liquids Inc., a British Columbia corporation (“</w:t>
      </w:r>
      <w:r>
        <w:rPr>
          <w:rFonts w:ascii="Arial" w:cs="Arial" w:eastAsia="Arial" w:hAnsi="Arial"/>
          <w:sz w:val="18"/>
          <w:szCs w:val="18"/>
          <w:u w:val="single" w:color="auto"/>
          <w:color w:val="auto"/>
        </w:rPr>
        <w:t>Targa Canada</w:t>
      </w:r>
      <w:r>
        <w:rPr>
          <w:rFonts w:ascii="Arial" w:cs="Arial" w:eastAsia="Arial" w:hAnsi="Arial"/>
          <w:sz w:val="18"/>
          <w:szCs w:val="18"/>
          <w:color w:val="auto"/>
        </w:rPr>
        <w:t>”)) has been duly incorporated, formed or organized, as the case may be, and is validly existing as a limited partnership, limited liability company or corporation, as applicable, and is in good standing under the laws of its respective jurisdiction of formation or incorporation with full power and authority necessary to own or lease its properties and to conduct its business, in each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case as described in the Disclosure Package and the Final Prospectus, in all material respects.</w:t>
      </w:r>
    </w:p>
    <w:p>
      <w:pPr>
        <w:spacing w:after="0" w:line="117" w:lineRule="exact"/>
        <w:rPr>
          <w:sz w:val="20"/>
          <w:szCs w:val="20"/>
          <w:color w:val="auto"/>
        </w:rPr>
      </w:pPr>
    </w:p>
    <w:p>
      <w:pPr>
        <w:jc w:val="both"/>
        <w:ind w:right="240" w:firstLine="443"/>
        <w:spacing w:after="0" w:line="259"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Power and Authority to Act as a General Partner</w:t>
      </w:r>
      <w:r>
        <w:rPr>
          <w:rFonts w:ascii="Arial" w:cs="Arial" w:eastAsia="Arial" w:hAnsi="Arial"/>
          <w:sz w:val="18"/>
          <w:szCs w:val="18"/>
          <w:color w:val="auto"/>
        </w:rPr>
        <w:t>. The General Partner has full limited liability company power and authority to act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of the Partnership in all material respects as described in the Disclosure Package and Final Prospectus. The Operating GP has full limited liability company power and authority to act as general partner of the Operating Partnership in all material respects as described in the Disclosure Package and Final Prospectus.</w:t>
      </w:r>
    </w:p>
    <w:p>
      <w:pPr>
        <w:spacing w:after="0" w:line="78" w:lineRule="exact"/>
        <w:rPr>
          <w:rFonts w:ascii="Arial" w:cs="Arial" w:eastAsia="Arial" w:hAnsi="Arial"/>
          <w:sz w:val="18"/>
          <w:szCs w:val="18"/>
          <w:color w:val="auto"/>
        </w:rPr>
      </w:pPr>
    </w:p>
    <w:p>
      <w:pPr>
        <w:ind w:right="40" w:firstLine="443"/>
        <w:spacing w:after="0" w:line="270" w:lineRule="auto"/>
        <w:tabs>
          <w:tab w:leader="none" w:pos="76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w:t>
      </w:r>
      <w:r>
        <w:rPr>
          <w:rFonts w:ascii="Arial" w:cs="Arial" w:eastAsia="Arial" w:hAnsi="Arial"/>
          <w:sz w:val="17"/>
          <w:szCs w:val="17"/>
          <w:color w:val="auto"/>
        </w:rPr>
        <w:t>. TGPI owns all of the issued and outstanding membership interests of the General Partner; such</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 interests have been duly authorized and validly issued in accordance with the GP LLC Agreement, and are fully paid (to the extent required by the GP LLC Agreement) and nonassessable (except as such nonassessability may be affected by Sections 18-607 and 18-804 of the Delaware LLC Act); and TGPI owns such membership interests free and clear of all Liens (other than (a) those created by or arising under the laws of the State of Delaware, (b) restrictions on transferability and other Liens described in the Disclosure Package, the Final Prospectus or the GP LLC Agreement, (c) those arising under the Targa Credit Agreement and (d) those imposed by the Act and the securities or “Blue Sky” laws of certain jurisdictions) (i) in respect of which a financing statement under the Uniform Commercial Code of the State of Delaware naming TGPI as debtor is on file as of a recent date in the office of the Secretary of State of the State of Delaware or (ii) otherwise known to such counsel, without independent investigation.</w:t>
      </w:r>
    </w:p>
    <w:p>
      <w:pPr>
        <w:spacing w:after="0" w:line="73" w:lineRule="exact"/>
        <w:rPr>
          <w:rFonts w:ascii="Arial" w:cs="Arial" w:eastAsia="Arial" w:hAnsi="Arial"/>
          <w:sz w:val="17"/>
          <w:szCs w:val="17"/>
          <w:color w:val="auto"/>
        </w:rPr>
      </w:pPr>
    </w:p>
    <w:p>
      <w:pPr>
        <w:ind w:left="740" w:hanging="297"/>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the Partnership</w:t>
      </w:r>
      <w:r>
        <w:rPr>
          <w:rFonts w:ascii="Arial" w:cs="Arial" w:eastAsia="Arial" w:hAnsi="Arial"/>
          <w:sz w:val="16"/>
          <w:szCs w:val="16"/>
          <w:color w:val="auto"/>
        </w:rPr>
        <w:t>. The General Partner is the sole general partner of the Partnership with a</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 general partner interest in the Partnership; such general partner interest has been duly and validly authorized and issued in accordance with the Partnership Agreement; and the General Partner owns such general partner interest free and clear of all Liens (other than (a) those created by or arising under the laws of the State of Delaware, (b) restrictions on transferability and other Liens described in the Disclosure Package, the Final Prospectus or the Partnership Agreement, (c) those arising under the Targa Credit Agreement and (d) those imposed by the Act and the securities or “Blue Sky” laws of certain jurisdictions) (i) in respect of which a financing statement under the Uniform Commercial Code of the State of Delaware naming the General Partner as debtor is on file as of a recent date in the office of the Secretary of State of the State of Delaware or (ii) otherwise known to such counsel, without independent investigation.</w:t>
      </w:r>
    </w:p>
    <w:p>
      <w:pPr>
        <w:spacing w:after="0" w:line="1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40" w:top="935" w:right="279" w:bottom="1440" w:gutter="0" w:footer="0" w:header="0"/>
        </w:sectPr>
      </w:pPr>
    </w:p>
    <w:bookmarkStart w:id="25" w:name="page26"/>
    <w:bookmarkEnd w:id="25"/>
    <w:p>
      <w:pPr>
        <w:ind w:left="7" w:firstLine="443"/>
        <w:spacing w:after="0" w:line="283" w:lineRule="auto"/>
        <w:tabs>
          <w:tab w:leader="none" w:pos="712"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Capitalization; Ownership of Incentive Distribution Rights</w:t>
      </w:r>
      <w:r>
        <w:rPr>
          <w:rFonts w:ascii="Arial" w:cs="Arial" w:eastAsia="Arial" w:hAnsi="Arial"/>
          <w:sz w:val="16"/>
          <w:szCs w:val="16"/>
          <w:color w:val="auto"/>
        </w:rPr>
        <w:t>. As of the date hereof (and prior to the issuance of the Units), the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limited partnership interests of the Partnership consist of 67,980,596 Common Units and the Incentive Distribution Rights; the General Partner owns 100% of the Incentive Distribution Rights; all of such Common Units and Incentive Distribution Rights and the limited partner interests represented thereby have been duly and validly authorized and issued in accordance with the Partnership Agreement, and are fully paid (to the extent required under the Partnership Agreement) and nonassessable (except as such nonassessability may be affected by Sections 17-607 and 17-804 of the Delaware LP Act); and the General Partner owns the Incentive Distribution Rights free and clear of all Liens (other than (a) those created by or arising under the laws of the State of Delaware, (b) restrictions on transferability and other Liens described in the Disclosure Package, the Final Prospectus or the Partnership Agreement, (c) those arising under the Targa Credit Agreement and (d) those imposed by the Act and the securities or “Blue Sky” laws of certain jurisdictions) (i) in respect of which a financing statement under the Uniform Commercial Code of the State of Delaware naming the General Partner as debtor is on file as of a recent date in the office of the Secretary of State of the State of Delaware or</w:t>
      </w:r>
    </w:p>
    <w:p>
      <w:pPr>
        <w:spacing w:after="0" w:line="5" w:lineRule="exact"/>
        <w:rPr>
          <w:rFonts w:ascii="Arial" w:cs="Arial" w:eastAsia="Arial" w:hAnsi="Arial"/>
          <w:sz w:val="16"/>
          <w:szCs w:val="16"/>
          <w:color w:val="auto"/>
        </w:rPr>
      </w:pPr>
    </w:p>
    <w:p>
      <w:pPr>
        <w:ind w:left="267" w:hanging="267"/>
        <w:spacing w:after="0"/>
        <w:tabs>
          <w:tab w:leader="none" w:pos="2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otherwise known to such counsel, without independent investigation.</w:t>
      </w:r>
    </w:p>
    <w:p>
      <w:pPr>
        <w:spacing w:after="0" w:line="102" w:lineRule="exact"/>
        <w:rPr>
          <w:rFonts w:ascii="Arial" w:cs="Arial" w:eastAsia="Arial" w:hAnsi="Arial"/>
          <w:sz w:val="18"/>
          <w:szCs w:val="18"/>
          <w:color w:val="auto"/>
        </w:rPr>
      </w:pPr>
    </w:p>
    <w:p>
      <w:pPr>
        <w:ind w:left="7" w:right="140" w:firstLine="443"/>
        <w:spacing w:after="0" w:line="302" w:lineRule="auto"/>
        <w:tabs>
          <w:tab w:leader="none" w:pos="762"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Valid Issuance of the Units</w:t>
      </w:r>
      <w:r>
        <w:rPr>
          <w:rFonts w:ascii="Arial" w:cs="Arial" w:eastAsia="Arial" w:hAnsi="Arial"/>
          <w:sz w:val="16"/>
          <w:szCs w:val="16"/>
          <w:color w:val="auto"/>
        </w:rPr>
        <w:t>. The Units to be purchased by the Underwriters from the Partnership have been duly authorized for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to the Underwriters pursuant to this Agreement and, when issued and delivered by the Partnership pursuant to this Agreement against payment of the consideration set forth herein, will be validly issued and fully paid (to the extent required under the Partnership Agreement) and nonassessable (except as such nonassessability may be affected by matters described in Sections 17-607 and 17-804 of the Delaware LP Act).</w:t>
      </w:r>
    </w:p>
    <w:p>
      <w:pPr>
        <w:spacing w:after="0" w:line="46" w:lineRule="exact"/>
        <w:rPr>
          <w:rFonts w:ascii="Arial" w:cs="Arial" w:eastAsia="Arial" w:hAnsi="Arial"/>
          <w:sz w:val="16"/>
          <w:szCs w:val="16"/>
          <w:color w:val="auto"/>
        </w:rPr>
      </w:pPr>
    </w:p>
    <w:p>
      <w:pPr>
        <w:ind w:left="7" w:right="40" w:firstLine="443"/>
        <w:spacing w:after="0" w:line="272" w:lineRule="auto"/>
        <w:tabs>
          <w:tab w:leader="none" w:pos="812"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No Preemptive Rights, Registration Rights or Options</w:t>
      </w:r>
      <w:r>
        <w:rPr>
          <w:rFonts w:ascii="Arial" w:cs="Arial" w:eastAsia="Arial" w:hAnsi="Arial"/>
          <w:sz w:val="17"/>
          <w:szCs w:val="17"/>
          <w:color w:val="auto"/>
        </w:rPr>
        <w:t>. Except for preemptive rights identified in the Disclosure Package and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there are no outstanding options, warrants, preemptive rights or other rights to subscribe for or to purchase, nor any restriction upon the voting or transfer of, any equity securities of the Partnership, in each case pursuant to the Organizational Documents of the Partnership or any agreement or instrument listed as an exhibit to the Registration Statement, in either case to which the Partnership is a party or by which it may be bound. Neither the filing of the Registration Statement nor the offering or sale of the Units as contemplated by this Agreement gives rise to any rights for or relating to the registration of any Units or other securities of the Partnership pursuant to any agreements or instruments listed as an exhibit to the Registration Statement other than as described in</w:t>
      </w:r>
    </w:p>
    <w:p>
      <w:pPr>
        <w:spacing w:after="0" w:line="151"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7"/>
          </w:cols>
          <w:pgMar w:left="933" w:top="935"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Disclosure Package and the Final Prospectus, as set forth in the Partnership Agreement or as have been waived.</w:t>
      </w:r>
    </w:p>
    <w:p>
      <w:pPr>
        <w:spacing w:after="0" w:line="117" w:lineRule="exact"/>
        <w:rPr>
          <w:sz w:val="20"/>
          <w:szCs w:val="20"/>
          <w:color w:val="auto"/>
        </w:rPr>
      </w:pPr>
    </w:p>
    <w:p>
      <w:pPr>
        <w:ind w:firstLine="398"/>
        <w:spacing w:after="0" w:line="268" w:lineRule="auto"/>
        <w:tabs>
          <w:tab w:leader="none" w:pos="81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Ownership of Material Subsidiaries</w:t>
      </w:r>
      <w:r>
        <w:rPr>
          <w:rFonts w:ascii="Arial" w:cs="Arial" w:eastAsia="Arial" w:hAnsi="Arial"/>
          <w:sz w:val="17"/>
          <w:szCs w:val="17"/>
          <w:color w:val="auto"/>
        </w:rPr>
        <w:t>. All of the issued and outstanding equity interests (other than general partner interests)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Subsidiary (other than CBF, DEV and Targa Canada) (a)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(other than (i) those created by or arising under the corporate, limited liability company or partnership laws of the jurisdiction of formation or incorporation of the respective Material Subsidiary, as the case may be; (ii) restrictions on transferability and other Liens described in the Disclosure Package, the Final Prospectus or the Organizational Documents; (iii) those arising under the Credit Agreement; and (iv) those imposed by the Act and the securities or “Blue Sky” laws of certain jurisdictions) (A) in respect of which a financing statement under the Uniform Commercial Code of the States of Delaware or Texas naming the Partnership as debtor or, in the case of equity interests of a Material Subsidiary owned directly by one or more other Material Subsidiary, naming any such other Material Subsidiary as debtor(s), is on file as of a recent date in the office of the Secretary of State of the States of Delaware or Texas or (B) otherwise known to such counsel, without independent investigation.</w:t>
      </w:r>
    </w:p>
    <w:p>
      <w:pPr>
        <w:spacing w:after="0" w:line="73" w:lineRule="exact"/>
        <w:rPr>
          <w:sz w:val="20"/>
          <w:szCs w:val="20"/>
          <w:color w:val="auto"/>
        </w:rPr>
      </w:pPr>
    </w:p>
    <w:p>
      <w:pPr>
        <w:ind w:right="20" w:firstLine="443"/>
        <w:spacing w:after="0" w:line="293" w:lineRule="auto"/>
        <w:tabs>
          <w:tab w:leader="none" w:pos="75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Ownership of GP Interests in Material Subsidiaries</w:t>
      </w:r>
      <w:r>
        <w:rPr>
          <w:rFonts w:ascii="Arial" w:cs="Arial" w:eastAsia="Arial" w:hAnsi="Arial"/>
          <w:sz w:val="16"/>
          <w:szCs w:val="16"/>
          <w:color w:val="auto"/>
        </w:rPr>
        <w:t>. All outstanding general partner interests in each Material Subsidiary that is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(other than CBF) have been duly authorized and validly issued in accordance with the Organizational Documents of such Material Subsidiary and are owned, directly or indirectly, by the Partnership, free and clear of all Liens (other than (i) those created by or arising under the partnership laws of the jurisdiction of formation of the respective Material Subsidiary; (ii) restrictions on transferability and other Liens described in the Disclosure Package, the Final Prospectus or the Organizational Documents; (iii) those arising under the Credit Agreement; and (iv) those imposed by the Act and the securities or “Blue Sky” laws of certain jurisdictions) (A) in respect of which a financing statement under the</w:t>
      </w:r>
    </w:p>
    <w:p>
      <w:pPr>
        <w:spacing w:after="0" w:line="1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27" w:name="page28"/>
    <w:bookmarkEnd w:id="27"/>
    <w:p>
      <w:pPr>
        <w:ind w:right="180"/>
        <w:spacing w:after="0" w:line="312" w:lineRule="auto"/>
        <w:rPr>
          <w:sz w:val="20"/>
          <w:szCs w:val="20"/>
          <w:color w:val="auto"/>
        </w:rPr>
      </w:pPr>
      <w:r>
        <w:rPr>
          <w:rFonts w:ascii="Arial" w:cs="Arial" w:eastAsia="Arial" w:hAnsi="Arial"/>
          <w:sz w:val="16"/>
          <w:szCs w:val="16"/>
          <w:color w:val="auto"/>
        </w:rPr>
        <w:t>Uniform Commercial Code of the States of Delaware or Texas naming the Partnership as debtor or, in the case of general partner interests of a Material Subsidiary owned directly by one or more other Material Subsidiary, naming any such other Material Subsidiary as debtor(s), is on file in the office of the Secretary of State of the States of Delaware or Texas or (B) otherwise known to such counsel, without independent investigation.</w:t>
      </w:r>
    </w:p>
    <w:p>
      <w:pPr>
        <w:spacing w:after="0" w:line="39" w:lineRule="exact"/>
        <w:rPr>
          <w:sz w:val="20"/>
          <w:szCs w:val="20"/>
          <w:color w:val="auto"/>
        </w:rPr>
      </w:pPr>
    </w:p>
    <w:p>
      <w:pPr>
        <w:ind w:firstLine="398"/>
        <w:spacing w:after="0" w:line="29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Authority and Authorization</w:t>
      </w:r>
      <w:r>
        <w:rPr>
          <w:rFonts w:ascii="Arial" w:cs="Arial" w:eastAsia="Arial" w:hAnsi="Arial"/>
          <w:sz w:val="16"/>
          <w:szCs w:val="16"/>
          <w:color w:val="auto"/>
        </w:rPr>
        <w:t>. On or prior to the Closing Date, (i) all partnership action required to be taken by the Partnership or its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authorization, issuance, sale and delivery of the Units, the execution and delivery by the Partnership of this Agreement and the consummation of the transactions contemplated by this Agreement to be completed, and (ii) all partnership action required to be taken by the Partnership and Targa Versado Holdings LP or their partners for the execution and delivery by them of the Purchase Agreement and the transactions contemplated thereby, in the case of both (i) and (ii) above, have been validly taken to the extent required to be taken as of the date hereof.</w:t>
      </w:r>
    </w:p>
    <w:p>
      <w:pPr>
        <w:spacing w:after="0" w:line="50" w:lineRule="exact"/>
        <w:rPr>
          <w:rFonts w:ascii="Arial" w:cs="Arial" w:eastAsia="Arial" w:hAnsi="Arial"/>
          <w:sz w:val="16"/>
          <w:szCs w:val="16"/>
          <w:color w:val="auto"/>
        </w:rPr>
      </w:pPr>
    </w:p>
    <w:p>
      <w:pPr>
        <w:ind w:left="700" w:hanging="30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Authorization of this Agreement</w:t>
      </w:r>
      <w:r>
        <w:rPr>
          <w:rFonts w:ascii="Arial" w:cs="Arial" w:eastAsia="Arial" w:hAnsi="Arial"/>
          <w:sz w:val="18"/>
          <w:szCs w:val="18"/>
          <w:color w:val="auto"/>
        </w:rPr>
        <w:t>. This Agreement has been duly authorized, executed and delivered by the Partnership.</w:t>
      </w:r>
    </w:p>
    <w:p>
      <w:pPr>
        <w:spacing w:after="0" w:line="117" w:lineRule="exact"/>
        <w:rPr>
          <w:rFonts w:ascii="Arial" w:cs="Arial" w:eastAsia="Arial" w:hAnsi="Arial"/>
          <w:sz w:val="18"/>
          <w:szCs w:val="18"/>
          <w:color w:val="auto"/>
        </w:rPr>
      </w:pPr>
    </w:p>
    <w:p>
      <w:pPr>
        <w:ind w:right="40" w:firstLine="398"/>
        <w:spacing w:after="0" w:line="270"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Enforceability of Organizational Agreements</w:t>
      </w:r>
      <w:r>
        <w:rPr>
          <w:rFonts w:ascii="Arial" w:cs="Arial" w:eastAsia="Arial" w:hAnsi="Arial"/>
          <w:sz w:val="17"/>
          <w:szCs w:val="17"/>
          <w:color w:val="auto"/>
        </w:rPr>
        <w:t>. The Organizational Agreements of the Partnership, the General Partner and the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(other than Targa Canada) have been duly authorized, executed and delivered by the Partnership, the General Partner and the Material Subsidiaries (other than Targa Canada), if applicable, and are valid and legally binding agreements of the Partnership, the General Partner and the Material Subsidiaries (other than Targa Canada), as applicable, enforceable against the Partnership, the General Partner and the Material Subsidiaries (other than Targa Canada), as applicable, in accordance with their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the Organizational Agreements, the enforceability thereof may be limited by (i) bankruptcy, insolvency, fraudulent transfer, reorganization, moratorium and similar laws relating to or affecting creditors’ rights generally and by general principles of equity (regardless of whether such enforceability is considered in a proceeding in equity or at law) and (ii) public policy, applicable law relating to fiduciary duties and indemnification and an implied covenant of good faith and fair dealing.</w:t>
      </w:r>
    </w:p>
    <w:p>
      <w:pPr>
        <w:spacing w:after="0" w:line="73" w:lineRule="exact"/>
        <w:rPr>
          <w:rFonts w:ascii="Arial" w:cs="Arial" w:eastAsia="Arial" w:hAnsi="Arial"/>
          <w:sz w:val="17"/>
          <w:szCs w:val="17"/>
          <w:color w:val="auto"/>
        </w:rPr>
      </w:pPr>
    </w:p>
    <w:p>
      <w:pPr>
        <w:ind w:right="400" w:firstLine="398"/>
        <w:spacing w:after="0" w:line="312" w:lineRule="auto"/>
        <w:tabs>
          <w:tab w:leader="none" w:pos="81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Enforceability of the Purchase Agreement</w:t>
      </w:r>
      <w:r>
        <w:rPr>
          <w:rFonts w:ascii="Arial" w:cs="Arial" w:eastAsia="Arial" w:hAnsi="Arial"/>
          <w:sz w:val="16"/>
          <w:szCs w:val="16"/>
          <w:color w:val="auto"/>
        </w:rPr>
        <w:t>. The Purchase Agreement has been duly authorized, executed and delivered by the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thereto and is a valid and legally binding agreement of the parties thereto, enforceable against the parties thereto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of the Purchase Agreement may be limited by (i) bankruptcy, insolvency, fraudulent transfer, reorganization,</w:t>
      </w:r>
    </w:p>
    <w:p>
      <w:pPr>
        <w:spacing w:after="0" w:line="1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5" w:right="239" w:bottom="1440" w:gutter="0" w:footer="0" w:header="0"/>
        </w:sectPr>
      </w:pPr>
    </w:p>
    <w:bookmarkStart w:id="28" w:name="page29"/>
    <w:bookmarkEnd w:id="28"/>
    <w:p>
      <w:pPr>
        <w:ind w:right="40"/>
        <w:spacing w:after="0" w:line="264" w:lineRule="auto"/>
        <w:rPr>
          <w:sz w:val="20"/>
          <w:szCs w:val="20"/>
          <w:color w:val="auto"/>
        </w:rPr>
      </w:pPr>
      <w:r>
        <w:rPr>
          <w:rFonts w:ascii="Arial" w:cs="Arial" w:eastAsia="Arial" w:hAnsi="Arial"/>
          <w:sz w:val="18"/>
          <w:szCs w:val="18"/>
          <w:color w:val="auto"/>
        </w:rPr>
        <w:t>moratorium and similar laws relating to or affecting creditors’ rights generally and by general principles of equity (regardless of whether such enforceability is considered in a proceeding in equity or at law) and (ii) public policy, applicable law relating to fiduciary duties and indemnification and an implied covenant of good faith and fair dealing.</w:t>
      </w:r>
    </w:p>
    <w:p>
      <w:pPr>
        <w:spacing w:after="0" w:line="73" w:lineRule="exact"/>
        <w:rPr>
          <w:sz w:val="20"/>
          <w:szCs w:val="20"/>
          <w:color w:val="auto"/>
        </w:rPr>
      </w:pPr>
    </w:p>
    <w:p>
      <w:pPr>
        <w:ind w:firstLine="218"/>
        <w:spacing w:after="0" w:line="268"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None of (i) the offering, issuance or sale by the Partnership of the Units, or (ii) the execution, delivery and performance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by the Partnership, or (iii) the execution, delivery and performance of the Purchase Agreement by the Partnership Entities that are parties thereto, (A) constitutes or will constitute a violation of the Organizational Documents of the Partnership, the General Partner or the Material Subsidiaries (other than Targa Canada), (B) conflicts or will conflict with or constitutes or will constitute a breach or violation of, or a default (or an event that, with notice or lapse of time or both, would constitute such a default) under any agreement or other instrument filed as an exhibit to the Registration Statement or any document incorporated by reference therein or the Targa Credit Agreement, (C) violates or will violate the Delaware LP Act, the Delaware LLC Act, the DGCL, the laws of the State of Texas or Federal law, (D) violates or will violate any order, judgment, decree or injunction of any court or governmental agency or other authority known to such counsel having jurisdiction over the Partnership, the General Partner or the Material Subsidiaries (other than Targa Canada) or any of their properties or assets in a proceeding to which any of them or their property is a party or (E) results or will result in the creation or imposition of any Lien pursuant to any agreement filed as an exhibit to the Registration Statement or any document incorporated by reference therein upon any property or assets of the Partnership, the General Partner or the Material Subsidiaries (other than Targa Canada) (other than Liens created pursuant to the Credit Agreement or the Targa Credit Agreement), which conflicts, breaches, violations, defaults or Liens, in the case of clauses (B), (C), (D) or (E), would reasonably be expected to have a Material Adverse Effect or a material adverse effect on the ability of the Partnership to consummate the transactions provided for in this Agreement or contemplated by the Purchase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opinion need be expressed pursuant to this paragraph with respect to Federal or state securities laws and other anti-fraud laws.</w:t>
      </w:r>
    </w:p>
    <w:p>
      <w:pPr>
        <w:spacing w:after="0" w:line="72" w:lineRule="exact"/>
        <w:rPr>
          <w:rFonts w:ascii="Arial" w:cs="Arial" w:eastAsia="Arial" w:hAnsi="Arial"/>
          <w:sz w:val="17"/>
          <w:szCs w:val="17"/>
          <w:color w:val="auto"/>
        </w:rPr>
      </w:pPr>
    </w:p>
    <w:p>
      <w:pPr>
        <w:ind w:right="20" w:firstLine="218"/>
        <w:spacing w:after="0" w:line="302" w:lineRule="auto"/>
        <w:tabs>
          <w:tab w:leader="none" w:pos="57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permit, consent, approval, authorization, order, registration, filing or qualification under the Delaware LP Act,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LLC Act, the DGCL, Texas law or Federal law is required in connection with the offering, issuance or sale by the Partnership of the Units, the execution, delivery and performance of this Agreement by the Partnership and the Purchase Agreement by the Partnership Entities that are parties thereto, or the consummation of the transactions contemplated by this Agreement or the Purchase Agreement except (i) for such permits,</w:t>
      </w:r>
    </w:p>
    <w:p>
      <w:pPr>
        <w:spacing w:after="0" w:line="1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5" w:right="239" w:bottom="144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consents, approvals and similar authorizations required under the Act, the Exchange Act, and state securities or “Blue Sky” laws, as to which such counsel need not express any opinion, (ii) for such consents which have been obtained or made, (iii) for such consents which, if not obtained, would not, individually or in the aggregate, reasonably be expected to have a Material Adverse Effect or (iv) as disclosed in the Disclosure Package and the Final Prospectus.</w:t>
      </w:r>
    </w:p>
    <w:p>
      <w:pPr>
        <w:spacing w:after="0" w:line="79" w:lineRule="exact"/>
        <w:rPr>
          <w:sz w:val="20"/>
          <w:szCs w:val="20"/>
          <w:color w:val="auto"/>
        </w:rPr>
      </w:pPr>
    </w:p>
    <w:p>
      <w:pPr>
        <w:ind w:right="80" w:firstLine="218"/>
        <w:spacing w:after="0" w:line="259"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has become effective under the Act; any required filing of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and no proceedings for that purpose have been instituted or threatened.</w:t>
      </w:r>
    </w:p>
    <w:p>
      <w:pPr>
        <w:spacing w:after="0" w:line="78" w:lineRule="exact"/>
        <w:rPr>
          <w:rFonts w:ascii="Arial" w:cs="Arial" w:eastAsia="Arial" w:hAnsi="Arial"/>
          <w:sz w:val="18"/>
          <w:szCs w:val="18"/>
          <w:color w:val="auto"/>
        </w:rPr>
      </w:pPr>
    </w:p>
    <w:p>
      <w:pPr>
        <w:ind w:right="20" w:firstLine="218"/>
        <w:spacing w:after="0" w:line="279" w:lineRule="auto"/>
        <w:tabs>
          <w:tab w:leader="none" w:pos="67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Form of Registration Statement and Final Prospectus</w:t>
      </w:r>
      <w:r>
        <w:rPr>
          <w:rFonts w:ascii="Arial" w:cs="Arial" w:eastAsia="Arial" w:hAnsi="Arial"/>
          <w:sz w:val="17"/>
          <w:szCs w:val="17"/>
          <w:color w:val="auto"/>
        </w:rPr>
        <w:t>. The Registration Statement, on the Effective Date, and the Final Prospectus,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Commission pursuant to Rule 424(b) and on the Closing Date, were, on their face, appropriately responsive, in all material respects, to the requirements of the Act, except that in each case such counsel need express no opinion with respect to the financial statements or other financial and statistical data contained in or omitted from the Registration Statement or the Final Prospectus.</w:t>
      </w:r>
    </w:p>
    <w:p>
      <w:pPr>
        <w:spacing w:after="0" w:line="63" w:lineRule="exact"/>
        <w:rPr>
          <w:rFonts w:ascii="Arial" w:cs="Arial" w:eastAsia="Arial" w:hAnsi="Arial"/>
          <w:sz w:val="17"/>
          <w:szCs w:val="17"/>
          <w:color w:val="auto"/>
        </w:rPr>
      </w:pPr>
    </w:p>
    <w:p>
      <w:pPr>
        <w:ind w:right="60" w:firstLine="218"/>
        <w:spacing w:after="0" w:line="25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Description of Common Units</w:t>
      </w:r>
      <w:r>
        <w:rPr>
          <w:rFonts w:ascii="Arial" w:cs="Arial" w:eastAsia="Arial" w:hAnsi="Arial"/>
          <w:sz w:val="18"/>
          <w:szCs w:val="18"/>
          <w:color w:val="auto"/>
        </w:rPr>
        <w:t>. The statements included in the Registration Statement and Preliminary Final Prospectus under the captions</w:t>
      </w:r>
      <w:r>
        <w:rPr>
          <w:rFonts w:ascii="Arial" w:cs="Arial" w:eastAsia="Arial" w:hAnsi="Arial"/>
          <w:sz w:val="18"/>
          <w:szCs w:val="18"/>
          <w:i w:val="1"/>
          <w:iCs w:val="1"/>
          <w:color w:val="auto"/>
        </w:rPr>
        <w:t xml:space="preserve"> </w:t>
      </w:r>
      <w:r>
        <w:rPr>
          <w:rFonts w:ascii="Arial" w:cs="Arial" w:eastAsia="Arial" w:hAnsi="Arial"/>
          <w:sz w:val="18"/>
          <w:szCs w:val="18"/>
          <w:color w:val="auto"/>
        </w:rPr>
        <w:t>“Summary—The Offering,” “Description of our Common Units,” “The Partnership Agreement” and “Cash Distribution Policy” insofar as they purport to constitute summaries of the terms of the Common Units (including the Units), are accurate summaries of the terms of such Common Units in all material respects.</w:t>
      </w:r>
    </w:p>
    <w:p>
      <w:pPr>
        <w:spacing w:after="0" w:line="78" w:lineRule="exact"/>
        <w:rPr>
          <w:rFonts w:ascii="Arial" w:cs="Arial" w:eastAsia="Arial" w:hAnsi="Arial"/>
          <w:sz w:val="18"/>
          <w:szCs w:val="18"/>
          <w:color w:val="auto"/>
        </w:rPr>
      </w:pPr>
    </w:p>
    <w:p>
      <w:pPr>
        <w:ind w:firstLine="218"/>
        <w:spacing w:after="0" w:line="272"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Descriptions and Summaries</w:t>
      </w:r>
      <w:r>
        <w:rPr>
          <w:rFonts w:ascii="Arial" w:cs="Arial" w:eastAsia="Arial" w:hAnsi="Arial"/>
          <w:sz w:val="17"/>
          <w:szCs w:val="17"/>
          <w:color w:val="auto"/>
        </w:rPr>
        <w:t>. The statements included in the Registration Statement and the Disclosure Package under the captions “Cash</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Policy,” “The Partnership Agreement” and “Investment in Targa Resources Partners LP by Employee Benefit Plans” and under the caption “Certain Relationships and Related Transactions, and Director Independence,” in the Partnership’s Annual Report on Form 10-K for the year ended December 31, 2009 (“</w:t>
      </w:r>
      <w:r>
        <w:rPr>
          <w:rFonts w:ascii="Arial" w:cs="Arial" w:eastAsia="Arial" w:hAnsi="Arial"/>
          <w:sz w:val="17"/>
          <w:szCs w:val="17"/>
          <w:u w:val="single" w:color="auto"/>
          <w:color w:val="auto"/>
        </w:rPr>
        <w:t>2009 Annual Report</w:t>
      </w:r>
      <w:r>
        <w:rPr>
          <w:rFonts w:ascii="Arial" w:cs="Arial" w:eastAsia="Arial" w:hAnsi="Arial"/>
          <w:sz w:val="17"/>
          <w:szCs w:val="17"/>
          <w:color w:val="auto"/>
        </w:rPr>
        <w:t>”) insofar as they purport to constitute summaries of the terms of Federal or Texas statutes, rules or regulations or the Delaware LP Act, the Delaware LLC Act or the DGCL, any legal and governmental proceedings or any contracts, constitute accurate summaries of the terms of such statutes, rules and regulations, legal and governmental proceedings and contracts in all material respects. The description of the Federal statutes, rules and</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5" w:right="239" w:bottom="1440" w:gutter="0" w:footer="0" w:header="0"/>
        </w:sectPr>
      </w:pPr>
    </w:p>
    <w:bookmarkStart w:id="30" w:name="page31"/>
    <w:bookmarkEnd w:id="30"/>
    <w:p>
      <w:pPr>
        <w:ind w:left="700" w:right="320"/>
        <w:spacing w:after="0" w:line="308" w:lineRule="auto"/>
        <w:rPr>
          <w:sz w:val="20"/>
          <w:szCs w:val="20"/>
          <w:color w:val="auto"/>
        </w:rPr>
      </w:pPr>
      <w:r>
        <w:rPr>
          <w:rFonts w:ascii="Arial" w:cs="Arial" w:eastAsia="Arial" w:hAnsi="Arial"/>
          <w:sz w:val="17"/>
          <w:szCs w:val="17"/>
          <w:color w:val="auto"/>
        </w:rPr>
        <w:t>regulations set forth in the 2009 Annual Report under “Business—Regulation of Operations” and “Business—Environmental, Health and Safety Matters” constitute accurate summaries of the terms of such statutes, rules and regulations in all material respects.</w:t>
      </w:r>
    </w:p>
    <w:p>
      <w:pPr>
        <w:spacing w:after="0" w:line="38" w:lineRule="exact"/>
        <w:rPr>
          <w:sz w:val="20"/>
          <w:szCs w:val="20"/>
          <w:color w:val="auto"/>
        </w:rPr>
      </w:pPr>
    </w:p>
    <w:p>
      <w:pPr>
        <w:ind w:left="700" w:right="840" w:firstLine="218"/>
        <w:spacing w:after="0" w:line="277" w:lineRule="auto"/>
        <w:tabs>
          <w:tab w:leader="none" w:pos="127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 The opinion of Vinson &amp; Elkins L.L.P. that is filed as Exhibit 8.1 to the Registration Statement is confirmed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may rely upon such opinion as if it were addressed to them.</w:t>
      </w:r>
    </w:p>
    <w:p>
      <w:pPr>
        <w:spacing w:after="0" w:line="62" w:lineRule="exact"/>
        <w:rPr>
          <w:rFonts w:ascii="Arial" w:cs="Arial" w:eastAsia="Arial" w:hAnsi="Arial"/>
          <w:sz w:val="18"/>
          <w:szCs w:val="18"/>
          <w:color w:val="auto"/>
        </w:rPr>
      </w:pPr>
    </w:p>
    <w:p>
      <w:pPr>
        <w:ind w:left="700" w:right="80" w:firstLine="218"/>
        <w:spacing w:after="0" w:line="264"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is not, and after giving effect to the offering and sale of the Units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the Disclosure Package and the Final Prospectus, will not be, an “investment company” as defined in the Investment Company Act.</w:t>
      </w:r>
    </w:p>
    <w:p>
      <w:pPr>
        <w:spacing w:after="0" w:line="73" w:lineRule="exact"/>
        <w:rPr>
          <w:sz w:val="20"/>
          <w:szCs w:val="20"/>
          <w:color w:val="auto"/>
        </w:rPr>
      </w:pPr>
    </w:p>
    <w:p>
      <w:pPr>
        <w:ind w:right="60" w:firstLine="450"/>
        <w:spacing w:after="0" w:line="284" w:lineRule="auto"/>
        <w:rPr>
          <w:sz w:val="20"/>
          <w:szCs w:val="20"/>
          <w:color w:val="auto"/>
        </w:rPr>
      </w:pPr>
      <w:r>
        <w:rPr>
          <w:rFonts w:ascii="Arial" w:cs="Arial" w:eastAsia="Arial" w:hAnsi="Arial"/>
          <w:sz w:val="16"/>
          <w:szCs w:val="16"/>
          <w:color w:val="auto"/>
        </w:rPr>
        <w:t>In rendering such opinion, such counsel may (i) rely in respect of matters of fact upon certificates of officers and employees of the Targa Parties and upon information obtained from public officials to the extent such counsel deems reasonable, (ii) assume that all documents submitted to such counsel as originals are authentic, that all copies submitted to such counsel conform to the originals thereof, and that the signatures on all documents examined by such counsel are genuine, (iii) state that its opinion is limited to matters governed by Federal law and the Delaware LP Act, Delaware LLC Act and the DGCL and the laws of the State of Texas, (iv) with respect to the opinions expressed as to the due qualification or registration as a foreign limited partnership or limited liability company, as the case may be, of the Partnership Entities, state that such opinions are based upon certificates of foreign qualification or registration provided by the Secretary of State of the States listed on an annex to be attached to such counsel’s opinion (each of which shall be dated as of a date not more than fourteen days prior to the Closing Date and shall be provided to counsel to the Underwriters) and (v) state that they express no opinion with respect to</w:t>
      </w:r>
    </w:p>
    <w:p>
      <w:pPr>
        <w:spacing w:after="0" w:line="1" w:lineRule="exact"/>
        <w:rPr>
          <w:sz w:val="20"/>
          <w:szCs w:val="20"/>
          <w:color w:val="auto"/>
        </w:rPr>
      </w:pPr>
    </w:p>
    <w:p>
      <w:pPr>
        <w:ind w:right="300" w:firstLine="8"/>
        <w:spacing w:after="0" w:line="255" w:lineRule="auto"/>
        <w:tabs>
          <w:tab w:leader="none" w:pos="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permits to own or operate any real or personal property or (B) state or local taxes or tax statutes to which any of the limited partners of the Partnership or any of the Targa Parties may be subject. Such counsel may exclude any non-wholly-owned entities from its opinion regarding ownership of Material Subsidiaries.</w:t>
      </w:r>
    </w:p>
    <w:p>
      <w:pPr>
        <w:spacing w:after="0" w:line="8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Partnership, the independent public accountants of the Partnership and the Underwriters’ representatives, at which the contents of the Registration Statement, the Disclosure Package and the Final Prospectus and related matters were discussed, and although such counsel has not independently verified, is not passing upon, and is not assuming any responsibility for the accuracy, completeness or fairness of the statements contained in, the Registration Statement, the Disclosure Package and the Final Prospectus (except to the extent specified in the foregoing opinion), based on the foregoing, no facts have come to such counsel’s attention that lead such counsel to believe that:</w:t>
      </w:r>
    </w:p>
    <w:p>
      <w:pPr>
        <w:spacing w:after="0" w:line="85" w:lineRule="exact"/>
        <w:rPr>
          <w:sz w:val="20"/>
          <w:szCs w:val="20"/>
          <w:color w:val="auto"/>
        </w:rPr>
      </w:pPr>
    </w:p>
    <w:p>
      <w:pPr>
        <w:ind w:right="200" w:firstLine="458"/>
        <w:spacing w:after="0" w:line="277" w:lineRule="auto"/>
        <w:tabs>
          <w:tab w:leader="none" w:pos="7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contained an untrue statement of a material fact or omitted to state a material fact required to be stated therein or necessary to make the statements therein not misleading,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160" w:firstLine="458"/>
        <w:spacing w:after="0" w:line="27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Disclosure Package, as of the Execution Time, contained any untrue statement of a material fact or omitted to state any material fact necessary in order to make the statements therein, in light of the circumstances under which they were made, not misleading, or</w:t>
      </w:r>
    </w:p>
    <w:p>
      <w:pPr>
        <w:spacing w:after="0" w:line="62" w:lineRule="exact"/>
        <w:rPr>
          <w:rFonts w:ascii="Arial" w:cs="Arial" w:eastAsia="Arial" w:hAnsi="Arial"/>
          <w:sz w:val="18"/>
          <w:szCs w:val="18"/>
          <w:color w:val="auto"/>
        </w:rPr>
      </w:pPr>
    </w:p>
    <w:p>
      <w:pPr>
        <w:ind w:right="20" w:firstLine="458"/>
        <w:spacing w:after="0" w:line="308" w:lineRule="auto"/>
        <w:tabs>
          <w:tab w:leader="none" w:pos="7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Final Prospectus, as of its date and on the Closing Date contained or contains an untrue statement of a material fact or omitted or omits to state a material fact necessary to make the statements therein, in the light of the circumstances under which they were made, not misleading;</w:t>
      </w:r>
    </w:p>
    <w:p>
      <w:pPr>
        <w:spacing w:after="0" w:line="38"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it being understood that such counsel expresses no statement or belief with respect to (i) the financial statements and related schedules, including the notes and schedules thereto and the auditor’s report thereon, or any other financial and accounting information, included in the Registration Statement or the Final Prospectus or the Disclosure Package, and (ii) representations and warranties and other statements of fact included in the exhibits to the Registration Statement or any document incorporated by reference therein.</w:t>
      </w:r>
    </w:p>
    <w:p>
      <w:pPr>
        <w:spacing w:after="0" w:line="79" w:lineRule="exact"/>
        <w:rPr>
          <w:sz w:val="20"/>
          <w:szCs w:val="20"/>
          <w:color w:val="auto"/>
        </w:rPr>
      </w:pPr>
    </w:p>
    <w:p>
      <w:pPr>
        <w:ind w:left="240" w:right="100" w:firstLine="221"/>
        <w:spacing w:after="0" w:line="302" w:lineRule="auto"/>
        <w:tabs>
          <w:tab w:leader="none" w:pos="7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Representatives shall have received from Baker Botts L.L.P., counsel for the Underwriters, such opinion or opinions, dated the Closing Date and addressed to the Representatives, with respect to the issuance and sale of the Units, the Registration Statement, the Disclosure Package, the Final Prospectus (together with any supplement thereto) and other related matters as the Representatives may reasonably require, and the Partnership shall have furnished to such counsel such documents as they may reasonably request for the purpose of enabling them to pass upon such matters.</w:t>
      </w:r>
    </w:p>
    <w:p>
      <w:pPr>
        <w:spacing w:after="0" w:line="46" w:lineRule="exact"/>
        <w:rPr>
          <w:rFonts w:ascii="Arial" w:cs="Arial" w:eastAsia="Arial" w:hAnsi="Arial"/>
          <w:sz w:val="16"/>
          <w:szCs w:val="16"/>
          <w:color w:val="auto"/>
        </w:rPr>
      </w:pPr>
    </w:p>
    <w:p>
      <w:pPr>
        <w:ind w:left="240" w:right="80" w:firstLine="221"/>
        <w:spacing w:after="0" w:line="25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a certificate of the Partnership, signed on behalf of the Partnership by the Chief Executive Officer or Chief Financial Officer of the General Partner, dated the Closing Date, to the effect that the signers of such certificate have examined the Registration Statement, the Disclosure Package, the Final Prospectus and any amendment or supplement thereto, as well as each electronic road show used in connection with the offering of the Units, and this Agreement and that:</w:t>
      </w:r>
    </w:p>
    <w:p>
      <w:pPr>
        <w:spacing w:after="0" w:line="78" w:lineRule="exact"/>
        <w:rPr>
          <w:rFonts w:ascii="Arial" w:cs="Arial" w:eastAsia="Arial" w:hAnsi="Arial"/>
          <w:sz w:val="18"/>
          <w:szCs w:val="18"/>
          <w:color w:val="auto"/>
        </w:rPr>
      </w:pPr>
    </w:p>
    <w:p>
      <w:pPr>
        <w:ind w:left="700" w:firstLine="218"/>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Closing Date with the same effect as if made on the Closing Date and the Partnership has complied with all the agreements and satisfied all the conditions on their part to be performed or satisfied at or prior to the Closing Date;</w:t>
      </w:r>
    </w:p>
    <w:p>
      <w:pPr>
        <w:spacing w:after="0" w:line="73" w:lineRule="exact"/>
        <w:rPr>
          <w:rFonts w:ascii="Arial" w:cs="Arial" w:eastAsia="Arial" w:hAnsi="Arial"/>
          <w:sz w:val="18"/>
          <w:szCs w:val="18"/>
          <w:color w:val="auto"/>
        </w:rPr>
      </w:pPr>
    </w:p>
    <w:p>
      <w:pPr>
        <w:ind w:left="700" w:right="40" w:firstLine="218"/>
        <w:spacing w:after="0" w:line="277" w:lineRule="auto"/>
        <w:tabs>
          <w:tab w:leader="none" w:pos="11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ind w:left="700" w:firstLine="218"/>
        <w:spacing w:after="0" w:line="277" w:lineRule="auto"/>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Final Prospectus, there has been no Material Adverse Effect, except as set forth in or contemplated in the Disclosure Package and the Final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left="240" w:right="20" w:firstLine="221"/>
        <w:spacing w:after="0" w:line="276" w:lineRule="auto"/>
        <w:tabs>
          <w:tab w:leader="none" w:pos="7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or incorporated by reference in, the Registration Statement, the Disclosure Package and the Final Prospectus; provided that the letter delivered on the Closing Date shall use a “cut off date” not earlier than the date hereof.</w:t>
      </w:r>
    </w:p>
    <w:p>
      <w:pPr>
        <w:spacing w:after="0" w:line="64" w:lineRule="exact"/>
        <w:rPr>
          <w:rFonts w:ascii="Arial" w:cs="Arial" w:eastAsia="Arial" w:hAnsi="Arial"/>
          <w:sz w:val="17"/>
          <w:szCs w:val="17"/>
          <w:color w:val="auto"/>
        </w:rPr>
      </w:pPr>
    </w:p>
    <w:p>
      <w:pPr>
        <w:ind w:left="240" w:firstLine="221"/>
        <w:spacing w:after="0" w:line="255" w:lineRule="auto"/>
        <w:tabs>
          <w:tab w:leader="none" w:pos="6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Partnership Entities taken as a whole, whether or not arising from transactions in the ordinary course of business, except as set forth in or contemplated in the Disclosure Package and the Final Prospectus the effect of which, in any case referred to in clause (i) or (ii) above, is, in the sole judgment of the Representatives, so material and adverse as to make it impractical or inadvisable to proceed with the offering or delivery of the Units as contemplated by the Registration Statement (exclusive of any amendment thereof), the Disclosure Package and the Final Prospectus (exclusive of any amendment or supplement thereto).</w:t>
      </w:r>
    </w:p>
    <w:p>
      <w:pPr>
        <w:spacing w:after="0" w:line="81"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Closing Date, the Partnership shall have furnished to the Representatives such further information, certificates and documents as the Representatives may reasonably request.</w:t>
      </w:r>
    </w:p>
    <w:p>
      <w:pPr>
        <w:spacing w:after="0" w:line="62" w:lineRule="exact"/>
        <w:rPr>
          <w:rFonts w:ascii="Arial" w:cs="Arial" w:eastAsia="Arial" w:hAnsi="Arial"/>
          <w:sz w:val="18"/>
          <w:szCs w:val="18"/>
          <w:color w:val="auto"/>
        </w:rPr>
      </w:pPr>
    </w:p>
    <w:p>
      <w:pPr>
        <w:jc w:val="both"/>
        <w:ind w:left="240" w:right="40" w:firstLine="221"/>
        <w:spacing w:after="0" w:line="286"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Subsequent to the Execution Time, there shall not have been any decrease in the rating of any of the Partnership’s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680" w:hanging="219"/>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Firm Units shall have been listed and admitted and authorized for trading on the NYSE.</w:t>
      </w:r>
    </w:p>
    <w:p>
      <w:pPr>
        <w:spacing w:after="0" w:line="117" w:lineRule="exact"/>
        <w:rPr>
          <w:rFonts w:ascii="Arial" w:cs="Arial" w:eastAsia="Arial" w:hAnsi="Arial"/>
          <w:sz w:val="18"/>
          <w:szCs w:val="18"/>
          <w:color w:val="auto"/>
        </w:rPr>
      </w:pPr>
    </w:p>
    <w:p>
      <w:pPr>
        <w:ind w:left="240" w:right="240" w:firstLine="2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At the Execution Time, the Partnership shall have furnished to the Representatives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General Partner.</w:t>
      </w:r>
    </w:p>
    <w:p>
      <w:pPr>
        <w:spacing w:after="0" w:line="62"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Partnership in writing or by telephone or facsimile confirmed in writing.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360" w:firstLine="447"/>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Baker Botts L.L.P., counsel for the Underwriters, at 910 Louisiana, Houston, Texas 77002, on the Closing Date.</w:t>
      </w:r>
    </w:p>
    <w:p>
      <w:pPr>
        <w:spacing w:after="0" w:line="62" w:lineRule="exact"/>
        <w:rPr>
          <w:sz w:val="20"/>
          <w:szCs w:val="20"/>
          <w:color w:val="auto"/>
        </w:rPr>
      </w:pPr>
    </w:p>
    <w:p>
      <w:pPr>
        <w:ind w:right="80" w:firstLine="458"/>
        <w:spacing w:after="0" w:line="255" w:lineRule="auto"/>
        <w:tabs>
          <w:tab w:leader="none" w:pos="63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Units provided for herein is not consummated because any condition to the obligations of the Underwriters set forth in Section 6 hereof is not satisfied, because of any termination pursuant to Section 10(i) hereof or because of any refusal, inability or failure on the part of the Partnership to perform any agreement herein or comply with any provision hereof other than by reason of a default by any of the Underwriters, the Partnership will reimburse the Underwriters severally through Wells Fargo Securities, LLC on demand for all reasonable out-of-pocket expenses (including reasonable fees and disbursements of counsel) that shall have been incurred by them in connection with the proposed purchase and sale of the Units.</w:t>
      </w:r>
    </w:p>
    <w:p>
      <w:pPr>
        <w:spacing w:after="0" w:line="85" w:lineRule="exact"/>
        <w:rPr>
          <w:rFonts w:ascii="Arial" w:cs="Arial" w:eastAsia="Arial" w:hAnsi="Arial"/>
          <w:sz w:val="18"/>
          <w:szCs w:val="18"/>
          <w:color w:val="auto"/>
        </w:rPr>
      </w:pPr>
    </w:p>
    <w:p>
      <w:pPr>
        <w:ind w:left="640" w:hanging="18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Partnership agrees to indemnify and hold harmless each Underwriter, the directors, officers, employees and agents of each Underwriter,</w:t>
      </w:r>
    </w:p>
    <w:p>
      <w:pPr>
        <w:spacing w:after="0" w:line="34" w:lineRule="exact"/>
        <w:rPr>
          <w:rFonts w:ascii="Arial" w:cs="Arial" w:eastAsia="Arial" w:hAnsi="Arial"/>
          <w:sz w:val="17"/>
          <w:szCs w:val="17"/>
          <w:color w:val="auto"/>
        </w:rPr>
      </w:pPr>
    </w:p>
    <w:p>
      <w:pPr>
        <w:ind w:left="24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affiliates of any Underwriter who have participated in the distribution of the Units as underwriters, and each person who controls any Underwriter or any such affiliate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as originally filed or in any amendment thereof, or in any Preliminary Final Prospectus,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Partnership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Partnership by or on behalf of any Underwriter through the Representatives specifically for inclusion therein. This indemnity agreement will be in addition to any liability which the Partnership may otherwise have.</w:t>
      </w:r>
    </w:p>
    <w:p>
      <w:pPr>
        <w:spacing w:after="0" w:line="75" w:lineRule="exact"/>
        <w:rPr>
          <w:rFonts w:ascii="Arial" w:cs="Arial" w:eastAsia="Arial" w:hAnsi="Arial"/>
          <w:sz w:val="17"/>
          <w:szCs w:val="17"/>
          <w:color w:val="auto"/>
        </w:rPr>
      </w:pPr>
    </w:p>
    <w:p>
      <w:pPr>
        <w:ind w:left="240" w:right="200" w:firstLine="221"/>
        <w:spacing w:after="0" w:line="259"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the Partnership, each of the General Partner’s directors and officers who sign the Registration Statement, and each person who controls the Partnership within the meaning of either the Act or the Exchange Act, to the same extent as the foregoing indemnity from the Partnership to each Underwriter, but only with reference to written information relating to such Underwriter furnished to the Partnership by or on behalf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left="4"/>
        <w:spacing w:after="0" w:line="291" w:lineRule="auto"/>
        <w:rPr>
          <w:sz w:val="20"/>
          <w:szCs w:val="20"/>
          <w:color w:val="auto"/>
        </w:rPr>
      </w:pPr>
      <w:r>
        <w:rPr>
          <w:rFonts w:ascii="Arial" w:cs="Arial" w:eastAsia="Arial" w:hAnsi="Arial"/>
          <w:sz w:val="16"/>
          <w:szCs w:val="16"/>
          <w:color w:val="auto"/>
        </w:rPr>
        <w:t>such Underwriter through the Representatives specifically for inclusion in the documents referred to in the foregoing indemnity. This indemnity agreement will be in addition to any liability which any Underwriter may otherwise have. The Partnership acknowledges that, under the heading “Underwriting,”</w:t>
      </w:r>
    </w:p>
    <w:p>
      <w:pPr>
        <w:ind w:left="4" w:right="60" w:hanging="4"/>
        <w:spacing w:after="0" w:line="277" w:lineRule="auto"/>
        <w:tabs>
          <w:tab w:leader="none" w:pos="2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sentences related to concessions and (ii) the paragraphs related to stabilization and syndicate covering transactions in any Preliminary Final Prospectus and the Final Prospectus and electronic delivery of the Final Prospectus, constitute the only information furnished in writing by or on behalf of the several Underwriters for inclusion in the Preliminary Prospectus, the Final Prospectus and any Issuer Free Writing Prospectus.</w:t>
      </w:r>
    </w:p>
    <w:p>
      <w:pPr>
        <w:spacing w:after="0" w:line="65" w:lineRule="exact"/>
        <w:rPr>
          <w:rFonts w:ascii="Arial" w:cs="Arial" w:eastAsia="Arial" w:hAnsi="Arial"/>
          <w:sz w:val="17"/>
          <w:szCs w:val="17"/>
          <w:color w:val="auto"/>
        </w:rPr>
      </w:pPr>
    </w:p>
    <w:p>
      <w:pPr>
        <w:ind w:left="4" w:firstLine="221"/>
        <w:spacing w:after="0" w:line="285" w:lineRule="auto"/>
        <w:tabs>
          <w:tab w:leader="none" w:pos="474"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w:t>
      </w:r>
    </w:p>
    <w:p>
      <w:pPr>
        <w:spacing w:after="0" w:line="2" w:lineRule="exact"/>
        <w:rPr>
          <w:rFonts w:ascii="Arial" w:cs="Arial" w:eastAsia="Arial" w:hAnsi="Arial"/>
          <w:sz w:val="16"/>
          <w:szCs w:val="16"/>
          <w:color w:val="auto"/>
        </w:rPr>
      </w:pPr>
    </w:p>
    <w:p>
      <w:pPr>
        <w:ind w:left="4" w:right="20" w:hanging="4"/>
        <w:spacing w:after="0" w:line="284"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w:t>
      </w:r>
    </w:p>
    <w:p>
      <w:pPr>
        <w:spacing w:after="0" w:line="149"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6" w:right="259" w:bottom="1440" w:gutter="0" w:footer="0" w:header="0"/>
        </w:sectPr>
      </w:pPr>
    </w:p>
    <w:bookmarkStart w:id="35" w:name="page36"/>
    <w:bookmarkEnd w:id="35"/>
    <w:p>
      <w:pPr>
        <w:ind w:left="180" w:firstLine="221"/>
        <w:spacing w:after="0" w:line="284"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8 is unavailable to or insufficient to hold harmless an indemnified party for any reason, the Partnership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Partnership and one or more of the Underwriters may be subject in such proportion as is appropriate to reflect the relative benefits received by the Partnership, on the one hand, and by the Underwriters, on the other, from the offering of the Units, provided, however, that in no case shall any Underwriter (except as may be provided in any agreement among underwriters relating to the offering of the Units) be responsible for any amount in excess of the underwriting discount or commission applicable to the Units purchased by such Underwriter hereunder. If the allocation provided by the immediately preceding sentence is unavailable for any reason, the Partnership and the Underwriters severally shall contribute in such proportion as is appropriate to reflect not only such relative benefits but also the relative fault of the Partnership, on the one hand, and of the Underwriters, on the other, in connection with the statements or omissions which resulted in such Losses as well as any other relevant equitable considerations. Benefits received by the Partnership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Partnership, on the one hand, or the Underwriters, on the other, the intent of the parties and their relative knowledge, access to information and opportunity to correct or prevent such untrue statement or omission. The Partnership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Partnership within the meaning of either the Act or the Exchange Act, each officer of the General Partner, who shall have signed the Registration Statement and each director of the General Partner shall have the same rights to contribution as the Partnership, subject in each case to the applicable terms and conditions of this paragraph (d) to collect such amounts from the Partnership, except in the event that the Partnership commences or becomes subject to any bankruptcy, liquidation, reorganization, moratorium or other proceeding providing protection from creditors generally.</w:t>
      </w:r>
    </w:p>
    <w:p>
      <w:pPr>
        <w:spacing w:after="0" w:line="68" w:lineRule="exact"/>
        <w:rPr>
          <w:rFonts w:ascii="Arial" w:cs="Arial" w:eastAsia="Arial" w:hAnsi="Arial"/>
          <w:sz w:val="16"/>
          <w:szCs w:val="16"/>
          <w:color w:val="auto"/>
        </w:rPr>
      </w:pPr>
    </w:p>
    <w:p>
      <w:pPr>
        <w:ind w:left="-60" w:right="520" w:firstLine="458"/>
        <w:spacing w:after="0" w:line="277" w:lineRule="auto"/>
        <w:tabs>
          <w:tab w:leader="none" w:pos="5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 If any one or more Underwriters shall fail to purchase and pay for any of the Units agreed to be purchased by such Underwriter or Underwriters hereunder and such failure to purchase shall constitute a default in the performance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36" w:name="page37"/>
    <w:bookmarkEnd w:id="36"/>
    <w:p>
      <w:pPr>
        <w:ind w:right="40"/>
        <w:spacing w:after="0" w:line="288" w:lineRule="auto"/>
        <w:rPr>
          <w:sz w:val="20"/>
          <w:szCs w:val="20"/>
          <w:color w:val="auto"/>
        </w:rPr>
      </w:pPr>
      <w:r>
        <w:rPr>
          <w:rFonts w:ascii="Arial" w:cs="Arial" w:eastAsia="Arial" w:hAnsi="Arial"/>
          <w:sz w:val="16"/>
          <w:szCs w:val="16"/>
          <w:color w:val="auto"/>
        </w:rPr>
        <w:t xml:space="preserve">of its or their obligations under this Agreement, the remaining Underwriters shall be obligated severally to take up and pay for (in the respective proportions which the number of Units set forth opposite their names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number of Units set forth opposite the names of all the remaining Underwriters) the Units which the defaulting Underwriter or Underwriters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aggregate number of Units which the defaulting Underwriter or Underwriters agreed but failed to purchase shall exceed 10% of the aggregate number of Units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remaining Underwriters shall have the right to purchase all, but shall not be under any obligation to purchase any, of the Units, and if such nondefaulting Underwriters do not purchase all the Units, this Agreement will terminate without liability to any nondefaulting Underwriter or the Partnership.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Partnership and any nondefaulting Underwriter for damages occasioned by its default hereunder.</w:t>
      </w:r>
    </w:p>
    <w:p>
      <w:pPr>
        <w:spacing w:after="0" w:line="61" w:lineRule="exact"/>
        <w:rPr>
          <w:sz w:val="20"/>
          <w:szCs w:val="20"/>
          <w:color w:val="auto"/>
        </w:rPr>
      </w:pPr>
    </w:p>
    <w:p>
      <w:pPr>
        <w:ind w:firstLine="458"/>
        <w:spacing w:after="0" w:line="271"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Partnership prior to delivery of and payment for the Units, if at any time prior to such delivery and payment (i) trading in the Partnership’s Common Units shall have been suspended by the Commission or the NYSE, (ii) trading in securities generally on the NYSE or the Nasdaq Global Market shall have been suspended or limited or minimum prices shall have been established on such exchange, (iii) a banking moratorium shall have been declared either by Federal or New York State authorities or a material disruption in commercial banking or securities settlement or clearance services in the United States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Units as contemplated by the Preliminary Prospectus or the Final Prospectus.</w:t>
      </w:r>
    </w:p>
    <w:p>
      <w:pPr>
        <w:spacing w:after="0" w:line="70" w:lineRule="exact"/>
        <w:rPr>
          <w:rFonts w:ascii="Arial" w:cs="Arial" w:eastAsia="Arial" w:hAnsi="Arial"/>
          <w:sz w:val="17"/>
          <w:szCs w:val="17"/>
          <w:color w:val="auto"/>
        </w:rPr>
      </w:pPr>
    </w:p>
    <w:p>
      <w:pPr>
        <w:ind w:right="180" w:firstLine="458"/>
        <w:spacing w:after="0" w:line="257" w:lineRule="auto"/>
        <w:tabs>
          <w:tab w:leader="none" w:pos="71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Partnership or the General Partner’s officers and of the Underwriters set forth in or made pursuant to this Agreement will remain in full force and effect, regardless of any investigation made by or on behalf of any Underwriter or the Partnership or any of the officers, directors, employees, agents or controlling persons referred to in Section 8 hereof, and will survive delivery of and payment for the Units. The provisions of Sections 7 and 8 hereof shall survive the termination or cancellation of this Agreement.</w:t>
      </w:r>
    </w:p>
    <w:p>
      <w:pPr>
        <w:spacing w:after="0" w:line="80" w:lineRule="exact"/>
        <w:rPr>
          <w:rFonts w:ascii="Arial" w:cs="Arial" w:eastAsia="Arial" w:hAnsi="Arial"/>
          <w:sz w:val="18"/>
          <w:szCs w:val="18"/>
          <w:color w:val="auto"/>
        </w:rPr>
      </w:pPr>
    </w:p>
    <w:p>
      <w:pPr>
        <w:ind w:firstLine="458"/>
        <w:spacing w:after="0" w:line="25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Wells Fargo Securities, LLC, 375 Park Avenue, New York, New York 10152, Attn: Equity Syndicate Department (fax no. 212.214.5918), with a copy in case of any notice pursuant to Section 8, to Merrill Lynch, Pierce, Fenner &amp; Smith Incorporated, One Bryant Park, New York, New York 10036, Attn: Syndicate Department, Fax: (646) 855-3073 with a copy to Attention: ECM Legal, Fax (212) 230-8730, Office of the General Counsel, Barclays Capital Inc., 745 7th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40"/>
        <w:spacing w:after="0" w:line="276" w:lineRule="auto"/>
        <w:rPr>
          <w:sz w:val="20"/>
          <w:szCs w:val="20"/>
          <w:color w:val="auto"/>
        </w:rPr>
      </w:pPr>
      <w:r>
        <w:rPr>
          <w:rFonts w:ascii="Arial" w:cs="Arial" w:eastAsia="Arial" w:hAnsi="Arial"/>
          <w:sz w:val="17"/>
          <w:szCs w:val="17"/>
          <w:color w:val="auto"/>
        </w:rPr>
        <w:t>Avenue, New York, New York 10019, Citigroup Global Markets Inc., at 388 Greenwich Street, New York, New York 10013 and Morgan Stanley &amp; Co. Incorporated, 1585 Broadway, New York, New York 10036, Attention: Equity Syndicate Desk, with a copy to the Legal Department; or, if sent to the Partnership, will be mailed, delivered or telefaxed to Targa Resources Partners LP and confirmed to it at 1000 Louisiana, Suite 4300, Houston, Texas 77002, attention of Paul W. Chung, General Counsel (fax no. 713.554.1110) with a copy to Vinson &amp; Elkins LLP, First City Tower, 1001 Fannin Street, Suite 2500, Houston, Texas 77002-6760 attention of David P. Oelman (fax no. 713.758.2346).</w:t>
      </w:r>
    </w:p>
    <w:p>
      <w:pPr>
        <w:spacing w:after="0" w:line="64" w:lineRule="exact"/>
        <w:rPr>
          <w:sz w:val="20"/>
          <w:szCs w:val="20"/>
          <w:color w:val="auto"/>
        </w:rPr>
      </w:pPr>
    </w:p>
    <w:p>
      <w:pPr>
        <w:ind w:right="340" w:firstLine="458"/>
        <w:spacing w:after="0" w:line="342" w:lineRule="auto"/>
        <w:tabs>
          <w:tab w:leader="none" w:pos="72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5" w:lineRule="exact"/>
        <w:rPr>
          <w:rFonts w:ascii="Arial" w:cs="Arial" w:eastAsia="Arial" w:hAnsi="Arial"/>
          <w:sz w:val="16"/>
          <w:szCs w:val="16"/>
          <w:color w:val="auto"/>
        </w:rPr>
      </w:pPr>
    </w:p>
    <w:p>
      <w:pPr>
        <w:ind w:right="20" w:firstLine="458"/>
        <w:spacing w:after="0" w:line="291" w:lineRule="auto"/>
        <w:tabs>
          <w:tab w:leader="none" w:pos="72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Partnership hereby acknowledges that (a) the purchase and sale of the Units pursuant to this Agreement is an arm’s-length commercial transaction between the Partnership, on the one hand, and the Underwriters and any affiliate through which they may be acting, on the other,</w:t>
      </w:r>
    </w:p>
    <w:p>
      <w:pPr>
        <w:ind w:right="2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Underwriters are acting as principal and not as an agent or fiduciary of the Partnership and (c) the Partnership’s engagement of the Underwriters in connection with the offering and the process leading up to the offering is as independent contractors and not in any other capacity. Furthermore, the Partnership agrees that it is solely responsible for making its own judgments in connection with the offering (irrespective of whether any of the Underwriters has advised or is currently advising the Partnership on related or other matters). The Partnership agrees that it will not claim that the Underwriters have rendered advisory services of any nature or respect, or owe an agency, fiduciary or similar duty to the Partnership, in connection with such transaction or the process leading thereto.</w:t>
      </w:r>
    </w:p>
    <w:p>
      <w:pPr>
        <w:spacing w:after="0" w:line="86" w:lineRule="exact"/>
        <w:rPr>
          <w:rFonts w:ascii="Arial" w:cs="Arial" w:eastAsia="Arial" w:hAnsi="Arial"/>
          <w:sz w:val="18"/>
          <w:szCs w:val="18"/>
          <w:color w:val="auto"/>
        </w:rPr>
      </w:pPr>
    </w:p>
    <w:p>
      <w:pPr>
        <w:ind w:firstLine="458"/>
        <w:spacing w:after="0" w:line="270" w:lineRule="auto"/>
        <w:tabs>
          <w:tab w:leader="none" w:pos="72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69" w:lineRule="exact"/>
        <w:rPr>
          <w:rFonts w:ascii="Arial" w:cs="Arial" w:eastAsia="Arial" w:hAnsi="Arial"/>
          <w:sz w:val="17"/>
          <w:szCs w:val="17"/>
          <w:color w:val="auto"/>
        </w:rPr>
      </w:pPr>
    </w:p>
    <w:p>
      <w:pPr>
        <w:ind w:left="720" w:hanging="262"/>
        <w:spacing w:after="0"/>
        <w:tabs>
          <w:tab w:leader="none" w:pos="7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8" w:name="page39"/>
    <w:bookmarkEnd w:id="38"/>
    <w:p>
      <w:pPr>
        <w:ind w:right="720" w:firstLine="45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and the Underwriters, or any of them, with respect to the subject matter hereof.</w:t>
      </w:r>
    </w:p>
    <w:p>
      <w:pPr>
        <w:spacing w:after="0" w:line="62" w:lineRule="exact"/>
        <w:rPr>
          <w:rFonts w:ascii="Arial" w:cs="Arial" w:eastAsia="Arial" w:hAnsi="Arial"/>
          <w:sz w:val="18"/>
          <w:szCs w:val="18"/>
          <w:color w:val="auto"/>
        </w:rPr>
      </w:pPr>
    </w:p>
    <w:p>
      <w:pPr>
        <w:ind w:right="180" w:firstLine="45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firstLine="45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Partnership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8"/>
          <w:szCs w:val="18"/>
          <w:color w:val="auto"/>
        </w:rPr>
      </w:pPr>
    </w:p>
    <w:p>
      <w:pPr>
        <w:ind w:right="80" w:firstLine="45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Basic Prospectus</w:t>
      </w:r>
      <w:r>
        <w:rPr>
          <w:rFonts w:ascii="Arial" w:cs="Arial" w:eastAsia="Arial" w:hAnsi="Arial"/>
          <w:sz w:val="17"/>
          <w:szCs w:val="17"/>
          <w:color w:val="auto"/>
        </w:rPr>
        <w:t>” shall mean the prospectus referred to in paragraph 1(a) above contained in the Registration Statement at the Effective Date.</w:t>
      </w:r>
    </w:p>
    <w:p>
      <w:pPr>
        <w:spacing w:after="0" w:line="129"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117" w:lineRule="exact"/>
        <w:rPr>
          <w:sz w:val="20"/>
          <w:szCs w:val="20"/>
          <w:color w:val="auto"/>
        </w:rPr>
      </w:pPr>
    </w:p>
    <w:p>
      <w:pPr>
        <w:ind w:right="480"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xml:space="preserve">” shall mean (i) the Basic Prospectus, as amended and supplemented to the Execution Time, (ii) the Issuer Free Writing Prospectuses set forth in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if any, and the price to the public, the number of Firm Units and the number of Options Units identified in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hereto, and (iii) any other Free Writing Prospectus that the parties hereto shall hereafter expressly agree in writing to treat as part of the Disclosure Package.</w:t>
      </w:r>
    </w:p>
    <w:p>
      <w:pPr>
        <w:spacing w:after="0" w:line="79"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62" w:lineRule="exact"/>
        <w:rPr>
          <w:sz w:val="20"/>
          <w:szCs w:val="20"/>
          <w:color w:val="auto"/>
        </w:rPr>
      </w:pPr>
    </w:p>
    <w:p>
      <w:pPr>
        <w:ind w:right="8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117"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Units that was first filed pursuant to Rule 424(b) after the Execution Time, together with the Basic Prospectus.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11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Final Prospectus</w:t>
      </w:r>
      <w:r>
        <w:rPr>
          <w:rFonts w:ascii="Arial" w:cs="Arial" w:eastAsia="Arial" w:hAnsi="Arial"/>
          <w:sz w:val="18"/>
          <w:szCs w:val="18"/>
          <w:color w:val="auto"/>
        </w:rPr>
        <w:t>” shall mean any preliminary prospectus supplement to the Basic Prospectus which describes the Units and the offering thereof and is used prior to filing of the Final Prospectus, together with the Basic Prospectus.</w:t>
      </w:r>
    </w:p>
    <w:p>
      <w:pPr>
        <w:spacing w:after="0" w:line="62"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 referred to in paragraph 1(a) above, including exhibits and financial statements and any prospectus supplement relating to the Units that is filed with the Commission pursuant to Rule 424(b) and deemed part of such registration statement pursuant to Rule 430B,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17"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firstLine="450"/>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Partnership and the several Underwriters.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Targa Resources Partners LP</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TARGA RESOURCES GP LLC</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Jeffrey J. McParland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Jeffrey J. McParland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the Underwriting Agreement</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Incorporated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David Herman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David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78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Mark A. Sooby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Sooby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78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Victoria Hale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78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Michael J. Casey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Michael J.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78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MORGAN STANLEY &amp; CO. INCORPORATED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Peter C. Bowden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Peter C. Bowden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778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Executive Director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jc w:val="right"/>
        <w:ind w:right="2799"/>
        <w:spacing w:after="0"/>
        <w:rPr>
          <w:sz w:val="20"/>
          <w:szCs w:val="20"/>
          <w:color w:val="auto"/>
        </w:rPr>
      </w:pPr>
      <w:r>
        <w:rPr>
          <w:rFonts w:ascii="Arial" w:cs="Arial" w:eastAsia="Arial" w:hAnsi="Arial"/>
          <w:sz w:val="18"/>
          <w:szCs w:val="18"/>
          <w:i w:val="1"/>
          <w:iCs w:val="1"/>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6220" w:type="dxa"/>
            <w:vAlign w:val="bottom"/>
            <w:gridSpan w:val="5"/>
          </w:tcPr>
          <w:p>
            <w:pPr>
              <w:jc w:val="center"/>
              <w:ind w:right="5180"/>
              <w:spacing w:after="0"/>
              <w:rPr>
                <w:sz w:val="20"/>
                <w:szCs w:val="20"/>
                <w:color w:val="auto"/>
              </w:rPr>
            </w:pPr>
            <w:r>
              <w:rPr>
                <w:rFonts w:ascii="Arial" w:cs="Arial" w:eastAsia="Arial" w:hAnsi="Arial"/>
                <w:sz w:val="18"/>
                <w:szCs w:val="18"/>
                <w:color w:val="auto"/>
                <w:w w:val="96"/>
              </w:rPr>
              <w:t>SCHEDULE I</w:t>
            </w:r>
          </w:p>
        </w:tc>
      </w:tr>
      <w:tr>
        <w:trPr>
          <w:trHeight w:val="36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Number of Firm Units</w:t>
            </w: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color w:val="auto"/>
              </w:rPr>
              <w:t>Underwriters</w:t>
            </w:r>
          </w:p>
        </w:tc>
        <w:tc>
          <w:tcPr>
            <w:tcW w:w="10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to be Purchased</w:t>
            </w: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280" w:type="dxa"/>
            <w:vAlign w:val="bottom"/>
            <w:tcBorders>
              <w:top w:val="single" w:sz="8" w:color="auto"/>
            </w:tcBorders>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6220" w:type="dxa"/>
            <w:vAlign w:val="bottom"/>
            <w:gridSpan w:val="5"/>
          </w:tcPr>
          <w:p>
            <w:pPr>
              <w:jc w:val="right"/>
              <w:ind w:right="100"/>
              <w:spacing w:after="0"/>
              <w:rPr>
                <w:sz w:val="20"/>
                <w:szCs w:val="20"/>
                <w:color w:val="auto"/>
              </w:rPr>
            </w:pPr>
            <w:r>
              <w:rPr>
                <w:rFonts w:ascii="Arial" w:cs="Arial" w:eastAsia="Arial" w:hAnsi="Arial"/>
                <w:sz w:val="18"/>
                <w:szCs w:val="18"/>
                <w:color w:val="auto"/>
              </w:rPr>
              <w:t>975,000</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6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975,000</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6220" w:type="dxa"/>
            <w:vAlign w:val="bottom"/>
            <w:gridSpan w:val="5"/>
          </w:tcPr>
          <w:p>
            <w:pPr>
              <w:jc w:val="right"/>
              <w:ind w:right="100"/>
              <w:spacing w:after="0"/>
              <w:rPr>
                <w:sz w:val="20"/>
                <w:szCs w:val="20"/>
                <w:color w:val="auto"/>
              </w:rPr>
            </w:pPr>
            <w:r>
              <w:rPr>
                <w:rFonts w:ascii="Arial" w:cs="Arial" w:eastAsia="Arial" w:hAnsi="Arial"/>
                <w:sz w:val="18"/>
                <w:szCs w:val="18"/>
                <w:color w:val="auto"/>
              </w:rPr>
              <w:t>975,000</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6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975,000</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220" w:type="dxa"/>
            <w:vAlign w:val="bottom"/>
            <w:gridSpan w:val="5"/>
          </w:tcPr>
          <w:p>
            <w:pPr>
              <w:jc w:val="right"/>
              <w:ind w:right="100"/>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6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6220" w:type="dxa"/>
            <w:vAlign w:val="bottom"/>
            <w:gridSpan w:val="5"/>
          </w:tcPr>
          <w:p>
            <w:pPr>
              <w:jc w:val="right"/>
              <w:ind w:right="100"/>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6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UBS Securities LLC</w:t>
            </w:r>
          </w:p>
        </w:tc>
        <w:tc>
          <w:tcPr>
            <w:tcW w:w="4820" w:type="dxa"/>
            <w:vAlign w:val="bottom"/>
            <w:gridSpan w:val="3"/>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6,500,000</w:t>
            </w:r>
          </w:p>
        </w:tc>
      </w:tr>
      <w:tr>
        <w:trPr>
          <w:trHeight w:val="40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20" w:type="dxa"/>
            <w:vAlign w:val="bottom"/>
            <w:gridSpan w:val="5"/>
          </w:tcPr>
          <w:p>
            <w:pPr>
              <w:jc w:val="center"/>
              <w:ind w:right="5200"/>
              <w:spacing w:after="0"/>
              <w:rPr>
                <w:sz w:val="20"/>
                <w:szCs w:val="20"/>
                <w:color w:val="auto"/>
              </w:rPr>
            </w:pPr>
            <w:r>
              <w:rPr>
                <w:rFonts w:ascii="Arial" w:cs="Arial" w:eastAsia="Arial" w:hAnsi="Arial"/>
                <w:sz w:val="18"/>
                <w:szCs w:val="18"/>
                <w:color w:val="auto"/>
              </w:rPr>
              <w:t>I-1</w:t>
            </w: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u w:val="single" w:color="auto"/>
          <w:color w:val="auto"/>
        </w:rPr>
        <w:t>SCHEDULE II-A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 Type</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Formation</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color w:val="auto"/>
              </w:rPr>
              <w:t>Targa Resources Operating GP LLC</w:t>
            </w:r>
          </w:p>
        </w:tc>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0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Operating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Partners Finance Corporation</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Intrastate Pipeline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Texas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Texas Field Services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Louisiana Field Services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Louisiana Intrastate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Sparta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Canada Liquids Inc.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British Columbia, Canada</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Midstream Barge Company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Retail Electric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NGL Pipeline Company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Transport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Co-Generation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Marketing and Trade</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GP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MLP Capital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Downstream Energy Ventures Co.,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Cedar Bayou Fractionators,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Gas Marketing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Midstream Services Limited Partnership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Permian Intrastate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Permian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Straddle GP LLC</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Straddle LP</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Warren Petroleum Company LLC</w:t>
            </w: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405"/>
        </w:trPr>
        <w:tc>
          <w:tcPr>
            <w:tcW w:w="4460" w:type="dxa"/>
            <w:vAlign w:val="bottom"/>
          </w:tcPr>
          <w:p>
            <w:pPr>
              <w:spacing w:after="0"/>
              <w:rPr>
                <w:sz w:val="24"/>
                <w:szCs w:val="24"/>
                <w:color w:val="auto"/>
              </w:rPr>
            </w:pPr>
          </w:p>
        </w:tc>
        <w:tc>
          <w:tcPr>
            <w:tcW w:w="5680" w:type="dxa"/>
            <w:vAlign w:val="bottom"/>
            <w:gridSpan w:val="3"/>
          </w:tcPr>
          <w:p>
            <w:pPr>
              <w:ind w:left="1100"/>
              <w:spacing w:after="0"/>
              <w:rPr>
                <w:sz w:val="20"/>
                <w:szCs w:val="20"/>
                <w:color w:val="auto"/>
              </w:rPr>
            </w:pPr>
            <w:r>
              <w:rPr>
                <w:rFonts w:ascii="Arial" w:cs="Arial" w:eastAsia="Arial" w:hAnsi="Arial"/>
                <w:sz w:val="18"/>
                <w:szCs w:val="18"/>
                <w:color w:val="auto"/>
              </w:rPr>
              <w:t>II-A</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u w:val="single" w:color="auto"/>
          <w:color w:val="auto"/>
        </w:rPr>
        <w:t>SCHEDULE II-B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Material 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 Type</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Formation</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color w:val="auto"/>
              </w:rPr>
              <w:t>Targa Resources Operating GP LLC</w:t>
            </w:r>
          </w:p>
        </w:tc>
        <w:tc>
          <w:tcPr>
            <w:tcW w:w="3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Operating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Texas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Texas Field Services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Louisiana Field Services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MLP Capital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Downstream Energy Ventures Co.,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Midstream Barge Company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Retail Electric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Co-Generation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Marketing and Trade</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GP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Cedar Bayou Fractionators,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NGL Pipeline Company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Gas Marketing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Midstream Services Limited Partnership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Permian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Straddle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Targa Straddle LP</w:t>
            </w:r>
          </w:p>
        </w:tc>
        <w:tc>
          <w:tcPr>
            <w:tcW w:w="3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405"/>
        </w:trPr>
        <w:tc>
          <w:tcPr>
            <w:tcW w:w="4460" w:type="dxa"/>
            <w:vAlign w:val="bottom"/>
          </w:tcPr>
          <w:p>
            <w:pPr>
              <w:spacing w:after="0"/>
              <w:rPr>
                <w:sz w:val="24"/>
                <w:szCs w:val="24"/>
                <w:color w:val="auto"/>
              </w:rPr>
            </w:pPr>
          </w:p>
        </w:tc>
        <w:tc>
          <w:tcPr>
            <w:tcW w:w="5680" w:type="dxa"/>
            <w:vAlign w:val="bottom"/>
            <w:gridSpan w:val="3"/>
          </w:tcPr>
          <w:p>
            <w:pPr>
              <w:ind w:left="1100"/>
              <w:spacing w:after="0"/>
              <w:rPr>
                <w:sz w:val="20"/>
                <w:szCs w:val="20"/>
                <w:color w:val="auto"/>
              </w:rPr>
            </w:pPr>
            <w:r>
              <w:rPr>
                <w:rFonts w:ascii="Arial" w:cs="Arial" w:eastAsia="Arial" w:hAnsi="Arial"/>
                <w:sz w:val="18"/>
                <w:szCs w:val="18"/>
                <w:color w:val="auto"/>
              </w:rPr>
              <w:t>II-B</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u w:val="single" w:color="auto"/>
          <w:color w:val="auto"/>
        </w:rPr>
        <w:t>SCHEDULE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Formation and Qualification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 Type</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Formation</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color w:val="auto"/>
              </w:rPr>
              <w:t>Targa Resources Partners LP</w:t>
            </w:r>
          </w:p>
        </w:tc>
        <w:tc>
          <w:tcPr>
            <w:tcW w:w="3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Operating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Operating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North Texas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Resources Texas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Texas Field Services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Louisiana Field Services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Downstream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MLP Capital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Downstream Energy Ventures Co.,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Midstream Barge Company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Retail Electric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Co-Generation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Liquids Marketing and Trade</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GP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Cedar Bayou Fractionators,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NGL Pipeline Company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Gas Marketing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LSNG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Midstream Services Limited Partnership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Permian LP</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Targa Straddle GP LLC</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Targa Straddle LP</w:t>
            </w:r>
          </w:p>
        </w:tc>
        <w:tc>
          <w:tcPr>
            <w:tcW w:w="3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405"/>
        </w:trPr>
        <w:tc>
          <w:tcPr>
            <w:tcW w:w="4460" w:type="dxa"/>
            <w:vAlign w:val="bottom"/>
          </w:tcPr>
          <w:p>
            <w:pPr>
              <w:spacing w:after="0"/>
              <w:rPr>
                <w:sz w:val="24"/>
                <w:szCs w:val="24"/>
                <w:color w:val="auto"/>
              </w:rPr>
            </w:pPr>
          </w:p>
        </w:tc>
        <w:tc>
          <w:tcPr>
            <w:tcW w:w="5680" w:type="dxa"/>
            <w:vAlign w:val="bottom"/>
            <w:gridSpan w:val="3"/>
          </w:tcPr>
          <w:p>
            <w:pPr>
              <w:ind w:left="1080"/>
              <w:spacing w:after="0"/>
              <w:rPr>
                <w:sz w:val="20"/>
                <w:szCs w:val="20"/>
                <w:color w:val="auto"/>
              </w:rPr>
            </w:pPr>
            <w:r>
              <w:rPr>
                <w:rFonts w:ascii="Arial" w:cs="Arial" w:eastAsia="Arial" w:hAnsi="Arial"/>
                <w:sz w:val="18"/>
                <w:szCs w:val="18"/>
                <w:color w:val="auto"/>
              </w:rPr>
              <w:t>III-1</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u w:val="single" w:color="auto"/>
          <w:color w:val="auto"/>
        </w:rPr>
        <w:t>SCHEDULE IV</w:t>
      </w:r>
    </w:p>
    <w:p>
      <w:pPr>
        <w:sectPr>
          <w:pgSz w:w="11900" w:h="16838" w:orient="portrait"/>
          <w:cols w:equalWidth="0" w:num="1">
            <w:col w:w="9019"/>
          </w:cols>
          <w:pgMar w:left="1440" w:top="963"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type w:val="continuous"/>
        </w:sectPr>
      </w:pPr>
    </w:p>
    <w:bookmarkStart w:id="47" w:name="page48"/>
    <w:bookmarkEnd w:id="47"/>
    <w:p>
      <w:pPr>
        <w:jc w:val="right"/>
        <w:ind w:right="3939"/>
        <w:spacing w:after="0"/>
        <w:rPr>
          <w:sz w:val="20"/>
          <w:szCs w:val="20"/>
          <w:color w:val="auto"/>
        </w:rPr>
      </w:pPr>
      <w:r>
        <w:rPr>
          <w:rFonts w:ascii="Arial" w:cs="Arial" w:eastAsia="Arial" w:hAnsi="Arial"/>
          <w:sz w:val="17"/>
          <w:szCs w:val="17"/>
          <w:u w:val="single" w:color="auto"/>
          <w:color w:val="auto"/>
        </w:rPr>
        <w:t>SCHEDULE V</w:t>
      </w:r>
    </w:p>
    <w:p>
      <w:pPr>
        <w:sectPr>
          <w:pgSz w:w="11900" w:h="16838" w:orient="portrait"/>
          <w:cols w:equalWidth="0" w:num="1">
            <w:col w:w="10219"/>
          </w:cols>
          <w:pgMar w:left="240" w:top="963" w:right="1440"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Pricing Information: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$24.80 per unit</w:t>
      </w:r>
    </w:p>
    <w:p>
      <w:pPr>
        <w:spacing w:after="0" w:line="211" w:lineRule="exact"/>
        <w:rPr>
          <w:sz w:val="20"/>
          <w:szCs w:val="20"/>
          <w:color w:val="auto"/>
        </w:rPr>
      </w:pPr>
    </w:p>
    <w:p>
      <w:pPr>
        <w:sectPr>
          <w:pgSz w:w="11900" w:h="16838" w:orient="portrait"/>
          <w:cols w:equalWidth="0" w:num="2">
            <w:col w:w="1480" w:space="680"/>
            <w:col w:w="8059"/>
          </w:cols>
          <w:pgMar w:left="240" w:top="96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Unit Information: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6,500,000 Firm Units</w:t>
      </w:r>
    </w:p>
    <w:p>
      <w:pPr>
        <w:spacing w:after="0" w:line="211" w:lineRule="exact"/>
        <w:rPr>
          <w:sz w:val="20"/>
          <w:szCs w:val="20"/>
          <w:color w:val="auto"/>
        </w:rPr>
      </w:pPr>
    </w:p>
    <w:p>
      <w:pPr>
        <w:sectPr>
          <w:pgSz w:w="11900" w:h="16838" w:orient="portrait"/>
          <w:cols w:equalWidth="0" w:num="2">
            <w:col w:w="1440" w:space="720"/>
            <w:col w:w="8059"/>
          </w:cols>
          <w:pgMar w:left="240" w:top="963" w:right="1440" w:bottom="1440" w:gutter="0" w:footer="0" w:header="0"/>
          <w:type w:val="continuous"/>
        </w:sectPr>
      </w:pPr>
    </w:p>
    <w:p>
      <w:pPr>
        <w:spacing w:after="0" w:line="37"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975,000 Option Units</w:t>
      </w:r>
    </w:p>
    <w:p>
      <w:pPr>
        <w:sectPr>
          <w:pgSz w:w="11900" w:h="16838" w:orient="portrait"/>
          <w:cols w:equalWidth="0" w:num="1">
            <w:col w:w="10219"/>
          </w:cols>
          <w:pgMar w:left="240" w:top="963" w:right="1440" w:bottom="1440" w:gutter="0" w:footer="0" w:header="0"/>
          <w:type w:val="continuous"/>
        </w:sect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LETTER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Representatives of the several Underwriters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447"/>
        <w:spacing w:after="0" w:line="286" w:lineRule="auto"/>
        <w:rPr>
          <w:sz w:val="20"/>
          <w:szCs w:val="20"/>
          <w:color w:val="auto"/>
        </w:rPr>
      </w:pPr>
      <w:r>
        <w:rPr>
          <w:rFonts w:ascii="Arial" w:cs="Arial" w:eastAsia="Arial" w:hAnsi="Arial"/>
          <w:sz w:val="17"/>
          <w:szCs w:val="17"/>
          <w:color w:val="auto"/>
        </w:rPr>
        <w:t>This letter is being delivered to you in connection with the proposed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between Targa Resources Partners LP (the “</w:t>
      </w:r>
      <w:r>
        <w:rPr>
          <w:rFonts w:ascii="Arial" w:cs="Arial" w:eastAsia="Arial" w:hAnsi="Arial"/>
          <w:sz w:val="17"/>
          <w:szCs w:val="17"/>
          <w:u w:val="single" w:color="auto"/>
          <w:color w:val="auto"/>
        </w:rPr>
        <w:t>Partnership</w:t>
      </w:r>
      <w:r>
        <w:rPr>
          <w:rFonts w:ascii="Arial" w:cs="Arial" w:eastAsia="Arial" w:hAnsi="Arial"/>
          <w:sz w:val="17"/>
          <w:szCs w:val="17"/>
          <w:color w:val="auto"/>
        </w:rPr>
        <w:t>”), Wells Fargo Securities, LLC, as a representative of a group of Underwriters named therein, and the other parties thereto, relating to an underwritten public offering of units, representing limited partner interests (the “</w:t>
      </w:r>
      <w:r>
        <w:rPr>
          <w:rFonts w:ascii="Arial" w:cs="Arial" w:eastAsia="Arial" w:hAnsi="Arial"/>
          <w:sz w:val="17"/>
          <w:szCs w:val="17"/>
          <w:u w:val="single" w:color="auto"/>
          <w:color w:val="auto"/>
        </w:rPr>
        <w:t>Partnership Units</w:t>
      </w:r>
      <w:r>
        <w:rPr>
          <w:rFonts w:ascii="Arial" w:cs="Arial" w:eastAsia="Arial" w:hAnsi="Arial"/>
          <w:sz w:val="17"/>
          <w:szCs w:val="17"/>
          <w:color w:val="auto"/>
        </w:rPr>
        <w:t>”), in the Partnership.</w:t>
      </w:r>
    </w:p>
    <w:p>
      <w:pPr>
        <w:spacing w:after="0" w:line="57"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in his individual capacity, will not, without the prior written consent of Wells Fargo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Exchange Act of 1934, as amended, and the rules and regulations of the Securities and Exchange Commission promulgated thereunder with respect to, any Common Units of the Partnership or any securities convertible into, or exercisable or exchangeable for such Common Units, or publicly announce an intention to effect any such transaction, for a period of 45 days after the date of the Underwriting Agreement, other than Partnership Units disposed of as bona fide gifts approved by Wells Fargo Securities, LLC.</w:t>
      </w:r>
    </w:p>
    <w:p>
      <w:pPr>
        <w:spacing w:after="0" w:line="59"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96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6334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3345" cy="16319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August 12,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ARGA</w:t>
      </w:r>
      <w:r>
        <w:rPr>
          <w:rFonts w:ascii="Arial" w:cs="Arial" w:eastAsia="Arial" w:hAnsi="Arial"/>
          <w:sz w:val="18"/>
          <w:szCs w:val="18"/>
          <w:color w:val="auto"/>
        </w:rPr>
        <w:t xml:space="preserve"> R</w:t>
      </w:r>
      <w:r>
        <w:rPr>
          <w:rFonts w:ascii="Arial" w:cs="Arial" w:eastAsia="Arial" w:hAnsi="Arial"/>
          <w:sz w:val="12"/>
          <w:szCs w:val="12"/>
          <w:color w:val="auto"/>
        </w:rPr>
        <w:t>ESOURCES</w:t>
      </w:r>
      <w:r>
        <w:rPr>
          <w:rFonts w:ascii="Arial" w:cs="Arial" w:eastAsia="Arial" w:hAnsi="Arial"/>
          <w:sz w:val="18"/>
          <w:szCs w:val="18"/>
          <w:color w:val="auto"/>
        </w:rPr>
        <w:t xml:space="preserve"> P</w:t>
      </w:r>
      <w:r>
        <w:rPr>
          <w:rFonts w:ascii="Arial" w:cs="Arial" w:eastAsia="Arial" w:hAnsi="Arial"/>
          <w:sz w:val="12"/>
          <w:szCs w:val="12"/>
          <w:color w:val="auto"/>
        </w:rPr>
        <w:t>ARTNERS</w:t>
      </w:r>
      <w:r>
        <w:rPr>
          <w:rFonts w:ascii="Arial" w:cs="Arial" w:eastAsia="Arial" w:hAnsi="Arial"/>
          <w:sz w:val="18"/>
          <w:szCs w:val="18"/>
          <w:color w:val="auto"/>
        </w:rPr>
        <w:t xml:space="preserv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Suite 4300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222"/>
        <w:spacing w:after="0" w:line="256" w:lineRule="auto"/>
        <w:rPr>
          <w:sz w:val="20"/>
          <w:szCs w:val="20"/>
          <w:color w:val="auto"/>
        </w:rPr>
      </w:pPr>
      <w:r>
        <w:rPr>
          <w:rFonts w:ascii="Arial" w:cs="Arial" w:eastAsia="Arial" w:hAnsi="Arial"/>
          <w:sz w:val="18"/>
          <w:szCs w:val="18"/>
          <w:color w:val="auto"/>
        </w:rPr>
        <w:t>We have acted as counsel for Targa Resources Partners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with respect to certain legal matters in connection with the registration by the Partnership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offer and sale by the Partnership of up to 7,475,000 common units representing limited partner interests in the Partnership (the “</w:t>
      </w:r>
      <w:r>
        <w:rPr>
          <w:rFonts w:ascii="Arial" w:cs="Arial" w:eastAsia="Arial" w:hAnsi="Arial"/>
          <w:sz w:val="18"/>
          <w:szCs w:val="18"/>
          <w:b w:val="1"/>
          <w:bCs w:val="1"/>
          <w:color w:val="auto"/>
        </w:rPr>
        <w:t>Units</w:t>
      </w:r>
      <w:r>
        <w:rPr>
          <w:rFonts w:ascii="Arial" w:cs="Arial" w:eastAsia="Arial" w:hAnsi="Arial"/>
          <w:sz w:val="18"/>
          <w:szCs w:val="18"/>
          <w:color w:val="auto"/>
        </w:rPr>
        <w:t>”). We have participated in the preparation of a Prospectus Supplement dated August 10, 2010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and the Prospectus dated April 8, 2010 (the “</w:t>
      </w:r>
      <w:r>
        <w:rPr>
          <w:rFonts w:ascii="Arial" w:cs="Arial" w:eastAsia="Arial" w:hAnsi="Arial"/>
          <w:sz w:val="18"/>
          <w:szCs w:val="18"/>
          <w:b w:val="1"/>
          <w:bCs w:val="1"/>
          <w:color w:val="auto"/>
        </w:rPr>
        <w:t>Prospectus</w:t>
      </w:r>
      <w:r>
        <w:rPr>
          <w:rFonts w:ascii="Arial" w:cs="Arial" w:eastAsia="Arial" w:hAnsi="Arial"/>
          <w:sz w:val="18"/>
          <w:szCs w:val="18"/>
          <w:color w:val="auto"/>
        </w:rPr>
        <w:t>”) forming part of the Registration Statement on Form S-3 (No. 333-165959)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Prospectus Supplement has been filed pursuant to Rule 424(b) promulgated under the Securities Act.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rendering the opinions set forth below, we have examined and relied upon (i) the Registration Statement, the Prospectus Supplement and the Prospectus;</w:t>
      </w:r>
    </w:p>
    <w:p>
      <w:pPr>
        <w:spacing w:after="0" w:line="46" w:lineRule="exact"/>
        <w:rPr>
          <w:sz w:val="20"/>
          <w:szCs w:val="20"/>
          <w:color w:val="auto"/>
        </w:rPr>
      </w:pPr>
    </w:p>
    <w:p>
      <w:pPr>
        <w:ind w:right="20" w:firstLine="8"/>
        <w:spacing w:after="0" w:line="281"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First Amended and Restated Agreement of Limited Partnership of the Partnership, dated as of February 14, 2007, as amended by Amendment No. 1 to the First Amended and Restated Agreement of Limited Partnership of the Partnership dated May 13, 2008; (iii) the Underwriting Agreement, dated</w:t>
      </w:r>
    </w:p>
    <w:p>
      <w:pPr>
        <w:spacing w:after="0" w:line="1"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August 10, 2010, relating to the offering and sale of the Units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(iv) resolutions of the Board of Directors of the general partner dated April 1, 2010 and the pricing committee thereof dated August 10, 2010; and (v) such other certificates and other instruments and documents as we consider appropriate for purposes of the opinions hereafter expressed.</w:t>
      </w:r>
    </w:p>
    <w:p>
      <w:pPr>
        <w:spacing w:after="0" w:line="8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connection with this opinion, we have assumed that all Units will be issued and sold in the manner stated in the Prospectus Supplement, the Prospectus, and the Underwriting Agreement.</w:t>
      </w:r>
    </w:p>
    <w:p>
      <w:pPr>
        <w:spacing w:after="0" w:line="62"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Based upon the foregoing and subject to the assumptions, exceptions, limitations and qualifications set forth below, we are of the opinion that when the Units have been issued and delivered in accordance with the terms of the Underwriting Agreement, then the Units will be validly issued, fully paid and non-assessable, except as described in the Registration Statement, the Prospectus Supplement and the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6060" w:type="dxa"/>
            <w:vAlign w:val="bottom"/>
          </w:tcPr>
          <w:p>
            <w:pPr>
              <w:ind w:left="920"/>
              <w:spacing w:after="0"/>
              <w:rPr>
                <w:sz w:val="20"/>
                <w:szCs w:val="20"/>
                <w:color w:val="auto"/>
              </w:rPr>
            </w:pPr>
            <w:r>
              <w:rPr>
                <w:rFonts w:ascii="Arial" w:cs="Arial" w:eastAsia="Arial" w:hAnsi="Arial"/>
                <w:sz w:val="18"/>
                <w:szCs w:val="18"/>
                <w:color w:val="auto"/>
              </w:rPr>
              <w:t>First City Tower, 1001 Fannin Street, Suite 2500</w:t>
            </w:r>
          </w:p>
        </w:tc>
      </w:tr>
      <w:tr>
        <w:trPr>
          <w:trHeight w:val="212"/>
        </w:trPr>
        <w:tc>
          <w:tcPr>
            <w:tcW w:w="5360" w:type="dxa"/>
            <w:vAlign w:val="bottom"/>
          </w:tcPr>
          <w:p>
            <w:pPr>
              <w:spacing w:after="0"/>
              <w:rPr>
                <w:sz w:val="20"/>
                <w:szCs w:val="20"/>
                <w:color w:val="auto"/>
              </w:rPr>
            </w:pPr>
            <w:r>
              <w:rPr>
                <w:rFonts w:ascii="Arial" w:cs="Arial" w:eastAsia="Arial" w:hAnsi="Arial"/>
                <w:sz w:val="18"/>
                <w:szCs w:val="18"/>
                <w:color w:val="auto"/>
              </w:rPr>
              <w:t>Abu Dhabi Austin Beijing Dallas Dubai Hong Kong Houston</w:t>
            </w:r>
          </w:p>
        </w:tc>
        <w:tc>
          <w:tcPr>
            <w:tcW w:w="6060" w:type="dxa"/>
            <w:vAlign w:val="bottom"/>
          </w:tcPr>
          <w:p>
            <w:pPr>
              <w:ind w:left="920"/>
              <w:spacing w:after="0"/>
              <w:rPr>
                <w:sz w:val="20"/>
                <w:szCs w:val="20"/>
                <w:color w:val="auto"/>
              </w:rPr>
            </w:pPr>
            <w:r>
              <w:rPr>
                <w:rFonts w:ascii="Arial" w:cs="Arial" w:eastAsia="Arial" w:hAnsi="Arial"/>
                <w:sz w:val="18"/>
                <w:szCs w:val="18"/>
                <w:color w:val="auto"/>
              </w:rPr>
              <w:t>Houston, TX 77002-6760</w:t>
            </w:r>
          </w:p>
        </w:tc>
      </w:tr>
      <w:tr>
        <w:trPr>
          <w:trHeight w:val="234"/>
        </w:trPr>
        <w:tc>
          <w:tcPr>
            <w:tcW w:w="5360" w:type="dxa"/>
            <w:vAlign w:val="bottom"/>
          </w:tcPr>
          <w:p>
            <w:pPr>
              <w:spacing w:after="0"/>
              <w:rPr>
                <w:sz w:val="20"/>
                <w:szCs w:val="20"/>
                <w:color w:val="auto"/>
              </w:rPr>
            </w:pPr>
            <w:r>
              <w:rPr>
                <w:rFonts w:ascii="Arial" w:cs="Arial" w:eastAsia="Arial" w:hAnsi="Arial"/>
                <w:sz w:val="18"/>
                <w:szCs w:val="18"/>
                <w:color w:val="auto"/>
              </w:rPr>
              <w:t>London Moscow New York Shanghai Tokyo Washington</w:t>
            </w:r>
          </w:p>
        </w:tc>
        <w:tc>
          <w:tcPr>
            <w:tcW w:w="6060" w:type="dxa"/>
            <w:vAlign w:val="bottom"/>
          </w:tcPr>
          <w:p>
            <w:pPr>
              <w:ind w:left="9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713.758.2346</w:t>
            </w:r>
            <w:r>
              <w:rPr>
                <w:rFonts w:ascii="Arial" w:cs="Arial" w:eastAsia="Arial" w:hAnsi="Arial"/>
                <w:sz w:val="18"/>
                <w:szCs w:val="18"/>
                <w:b w:val="1"/>
                <w:bCs w:val="1"/>
                <w:color w:val="auto"/>
              </w:rPr>
              <w:t xml:space="preserve"> www.velaw.com</w:t>
            </w:r>
          </w:p>
        </w:tc>
      </w:tr>
      <w:tr>
        <w:trPr>
          <w:trHeight w:val="618"/>
        </w:trPr>
        <w:tc>
          <w:tcPr>
            <w:tcW w:w="536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August 12, 2010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1480" cy="163195"/>
                    </a:xfrm>
                    <a:prstGeom prst="rect">
                      <a:avLst/>
                    </a:prstGeom>
                    <a:noFill/>
                  </pic:spPr>
                </pic:pic>
              </a:graphicData>
            </a:graphic>
          </wp:anchor>
        </w:drawing>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117" w:lineRule="exact"/>
        <w:rPr>
          <w:sz w:val="20"/>
          <w:szCs w:val="20"/>
          <w:color w:val="auto"/>
        </w:rPr>
      </w:pPr>
    </w:p>
    <w:p>
      <w:pPr>
        <w:ind w:right="140" w:firstLine="215"/>
        <w:spacing w:after="0" w:line="286" w:lineRule="auto"/>
        <w:rPr>
          <w:sz w:val="20"/>
          <w:szCs w:val="20"/>
          <w:color w:val="auto"/>
        </w:rPr>
      </w:pPr>
      <w:r>
        <w:rPr>
          <w:rFonts w:ascii="Arial" w:cs="Arial" w:eastAsia="Arial" w:hAnsi="Arial"/>
          <w:sz w:val="17"/>
          <w:szCs w:val="17"/>
          <w:color w:val="auto"/>
        </w:rPr>
        <w:t>A.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5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B. This opinion is limited in all respects to the federal laws of the United States, the Delaware Revised Uniform Limited Partnership Act and the Constitution of the State of Delaware, as interpreted by the courts of the State of Delaware and of the United States. We are expressing no opinion as to the effect of the laws of any other jurisdiction.</w:t>
      </w:r>
    </w:p>
    <w:p>
      <w:pPr>
        <w:spacing w:after="0" w:line="73" w:lineRule="exact"/>
        <w:rPr>
          <w:sz w:val="20"/>
          <w:szCs w:val="20"/>
          <w:color w:val="auto"/>
        </w:rPr>
      </w:pPr>
    </w:p>
    <w:p>
      <w:pPr>
        <w:jc w:val="both"/>
        <w:ind w:right="140" w:firstLine="222"/>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this consent, we do not admit that we are within the category of persons whose consent is required under Section 7 of the Securities Act or the rules and regulations of the Securities and Exchange Commission issued thereunder.</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08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August 12,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Targa Resources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Suite 4300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 Targa Resources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We have acted as counsel for Targa Resources Partners. (the “Partnership”), a Delaware limited partnership, with respect to certain legal matters in connection with the offer and sale by certain selling unitholders of common units representing limited partner interests in the Partnership. We have also participated in the preparation of a Prospectus dated April 8, 2010 (the “Prospectus”) and a Prospectus Supplement dated August 9, 2010 (the “Prospectus Supplement”) forming part of the Registration Statement on Form S-3 No. 333-165959 (the “Registration Statement”). In connection therewith, we prepared the discussion set forth under the caption “Material Income Tax Consequences” in the Prospectus and “Material Tax Considerations” in the Prospectus Supplement (together, the “Discussions”).</w:t>
      </w:r>
    </w:p>
    <w:p>
      <w:pPr>
        <w:spacing w:after="0" w:line="85" w:lineRule="exact"/>
        <w:rPr>
          <w:sz w:val="20"/>
          <w:szCs w:val="20"/>
          <w:color w:val="auto"/>
        </w:rPr>
      </w:pPr>
    </w:p>
    <w:p>
      <w:pPr>
        <w:ind w:right="120" w:firstLine="215"/>
        <w:spacing w:after="0" w:line="273" w:lineRule="auto"/>
        <w:rPr>
          <w:sz w:val="20"/>
          <w:szCs w:val="20"/>
          <w:color w:val="auto"/>
        </w:rPr>
      </w:pPr>
      <w:r>
        <w:rPr>
          <w:rFonts w:ascii="Arial" w:cs="Arial" w:eastAsia="Arial" w:hAnsi="Arial"/>
          <w:sz w:val="17"/>
          <w:szCs w:val="17"/>
          <w:color w:val="auto"/>
        </w:rPr>
        <w:t>All statements of legal conclusions contained in the Discussions, unless otherwise noted, are our opinion with respect to the matters set forth therein (i) as of the date of the Prospectus in respect of the discussion set forth under the caption “Material Income Tax Consequences,” and (ii) as of the effective date of the Prospectus Supplement in respect of the discussion set forth under the caption “Material Tax Considerations” in both cases qualified by the limitations contained in the Discussions. In addition, we are of the opinion that the Discussions with respect to those matters as to which no legal conclusions are provided are accurate discussions of such federal income tax matters (except for the representations and statements of fact by the Partnership and its general partner, included in the Discussions, as to which we express no opinion).</w:t>
      </w:r>
    </w:p>
    <w:p>
      <w:pPr>
        <w:spacing w:after="0" w:line="70"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and the Prospectus. In giving such consent, we do not admit that we are within the category of persons whose consent is required under Section 7 of the Securities Act of 1933 or the rules and regulations of the Securities and Exchange Commission issued thereunder.</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Vinson &amp; Elkins LLP Attorneys at Law </w:t>
      </w:r>
      <w:r>
        <w:rPr>
          <w:rFonts w:ascii="Arial" w:cs="Arial" w:eastAsia="Arial" w:hAnsi="Arial"/>
          <w:sz w:val="16"/>
          <w:szCs w:val="16"/>
          <w:color w:val="auto"/>
        </w:rPr>
        <w:t>Austin Beijing Dallas Dubai</w:t>
      </w:r>
      <w:r>
        <w:rPr>
          <w:rFonts w:ascii="Arial" w:cs="Arial" w:eastAsia="Arial" w:hAnsi="Arial"/>
          <w:sz w:val="16"/>
          <w:szCs w:val="16"/>
          <w:b w:val="1"/>
          <w:bCs w:val="1"/>
          <w:color w:val="auto"/>
        </w:rPr>
        <w:t xml:space="preserve"> </w:t>
      </w:r>
      <w:r>
        <w:rPr>
          <w:rFonts w:ascii="Arial" w:cs="Arial" w:eastAsia="Arial" w:hAnsi="Arial"/>
          <w:sz w:val="16"/>
          <w:szCs w:val="16"/>
          <w:color w:val="auto"/>
        </w:rPr>
        <w:t>Houston London Moscow New York Shanghai Tokyo Washington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First City Tower, 1001 Fannin Street, Suite 2300, Houston, TX 77002 </w:t>
      </w:r>
      <w:r>
        <w:rPr>
          <w:rFonts w:ascii="Arial" w:cs="Arial" w:eastAsia="Arial" w:hAnsi="Arial"/>
          <w:sz w:val="18"/>
          <w:szCs w:val="18"/>
          <w:b w:val="1"/>
          <w:bCs w:val="1"/>
          <w:color w:val="auto"/>
        </w:rPr>
        <w:t xml:space="preserve">Tel </w:t>
      </w:r>
      <w:r>
        <w:rPr>
          <w:rFonts w:ascii="Arial" w:cs="Arial" w:eastAsia="Arial" w:hAnsi="Arial"/>
          <w:sz w:val="18"/>
          <w:szCs w:val="18"/>
          <w:color w:val="auto"/>
        </w:rPr>
        <w:t>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713.758.2346</w:t>
      </w:r>
      <w:r>
        <w:rPr>
          <w:rFonts w:ascii="Arial" w:cs="Arial" w:eastAsia="Arial" w:hAnsi="Arial"/>
          <w:sz w:val="18"/>
          <w:szCs w:val="18"/>
          <w:b w:val="1"/>
          <w:bCs w:val="1"/>
          <w:color w:val="auto"/>
        </w:rPr>
        <w:t xml:space="preserve"> www.velaw.com</w:t>
      </w:r>
    </w:p>
    <w:p>
      <w:pPr>
        <w:sectPr>
          <w:pgSz w:w="11900" w:h="16838" w:orient="portrait"/>
          <w:cols w:equalWidth="0" w:num="2">
            <w:col w:w="5140" w:space="580"/>
            <w:col w:w="5700"/>
          </w:cols>
          <w:pgMar w:left="240" w:top="121"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1000 Louisiana, Suite 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52220" cy="334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2220" cy="334645"/>
                    </a:xfrm>
                    <a:prstGeom prst="rect">
                      <a:avLst/>
                    </a:prstGeom>
                    <a:noFill/>
                  </pic:spPr>
                </pic:pic>
              </a:graphicData>
            </a:graphic>
          </wp:anchor>
        </w:drawing>
      </w:r>
    </w:p>
    <w:p>
      <w:pPr>
        <w:spacing w:after="0" w:line="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713.584.1000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Targa Resources Partners LP Announces Pricing of Common Units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HOUSTON, August 10, 2010 — Targa Resources Partners LP (“Targa Resources Partners” or the “Partnership”) (NYSE: NGLS) announced today that it has priced an underwritten public offering of 6,500,000 common units representing limited partner interests at $24.80 per common unit. The offering is expected to close on or about August 13, 2010. The Partnership has also granted the underwriters a 30-day option to purchase up to 975,000 additional common units. The Partnership intends to use the net proceeds from the offering to reduce borrowings under its senior secured credit facility and for general partnership purposes, which may include redeeming or repurchasing some of its outstanding notes, working capital and acquisitions.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BofA Merrill Lynch, Barclays Capital, Citi and Morgan Stanley are joint book-running managers for the offering.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When available, copies of the prospectus supplement and accompanying base prospectus relating to the offering may be obtained free of charge by visiting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EDGAR on the Securities and Exchange Commission’s website at www.sec.gov or from the underwriters as follows:</w:t>
      </w:r>
    </w:p>
    <w:p>
      <w:pPr>
        <w:spacing w:after="0" w:line="103" w:lineRule="exact"/>
        <w:rPr>
          <w:sz w:val="20"/>
          <w:szCs w:val="20"/>
          <w:color w:val="auto"/>
        </w:rPr>
      </w:pPr>
    </w:p>
    <w:p>
      <w:pPr>
        <w:ind w:left="340" w:right="1200" w:hanging="332"/>
        <w:spacing w:after="0" w:line="277"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Wells Fargo Securities, Attn: Equity Syndicate Dept., 375 Park Avenue, New York, NY 10152. By telephone (800) 326-5897 or by email </w:t>
      </w:r>
      <w:r>
        <w:rPr>
          <w:rFonts w:ascii="Arial" w:cs="Arial" w:eastAsia="Arial" w:hAnsi="Arial"/>
          <w:sz w:val="18"/>
          <w:szCs w:val="18"/>
          <w:u w:val="single" w:color="auto"/>
          <w:color w:val="auto"/>
        </w:rPr>
        <w:t>equity.syndicate@wellsfargo.com</w:t>
      </w:r>
    </w:p>
    <w:p>
      <w:pPr>
        <w:spacing w:after="0" w:line="75" w:lineRule="exact"/>
        <w:rPr>
          <w:rFonts w:ascii="Arial" w:cs="Arial" w:eastAsia="Arial" w:hAnsi="Arial"/>
          <w:sz w:val="18"/>
          <w:szCs w:val="18"/>
          <w:b w:val="1"/>
          <w:bCs w:val="1"/>
          <w:color w:val="auto"/>
        </w:rPr>
      </w:pPr>
    </w:p>
    <w:p>
      <w:pPr>
        <w:ind w:left="340" w:hanging="332"/>
        <w:spacing w:after="0"/>
        <w:tabs>
          <w:tab w:leader="none" w:pos="34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 xml:space="preserve">BofA Merrill Lynch, 4 World Financial Center, New York, NY 10080, Attn: Prospectus Department or email </w:t>
      </w:r>
      <w:r>
        <w:rPr>
          <w:rFonts w:ascii="Arial" w:cs="Arial" w:eastAsia="Arial" w:hAnsi="Arial"/>
          <w:sz w:val="17"/>
          <w:szCs w:val="17"/>
          <w:u w:val="single" w:color="auto"/>
          <w:color w:val="auto"/>
        </w:rPr>
        <w:t>dg.prospectus_requests@baml.com</w:t>
      </w:r>
    </w:p>
    <w:p>
      <w:pPr>
        <w:spacing w:after="0" w:line="142" w:lineRule="exact"/>
        <w:rPr>
          <w:rFonts w:ascii="Arial" w:cs="Arial" w:eastAsia="Arial" w:hAnsi="Arial"/>
          <w:sz w:val="17"/>
          <w:szCs w:val="17"/>
          <w:b w:val="1"/>
          <w:bCs w:val="1"/>
          <w:color w:val="auto"/>
        </w:rPr>
      </w:pPr>
    </w:p>
    <w:p>
      <w:pPr>
        <w:ind w:left="340" w:right="800" w:hanging="332"/>
        <w:spacing w:after="0" w:line="277"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Barclays Capital, c/o Broadridge Financial Solutions, 1155 Long Island Ave., Edgewood, NY 11717. By telephone (888) 603-5847 or by email </w:t>
      </w:r>
      <w:r>
        <w:rPr>
          <w:rFonts w:ascii="Arial" w:cs="Arial" w:eastAsia="Arial" w:hAnsi="Arial"/>
          <w:sz w:val="18"/>
          <w:szCs w:val="18"/>
          <w:u w:val="single" w:color="auto"/>
          <w:color w:val="auto"/>
        </w:rPr>
        <w:t>barclaysprospectus@broadridge.com</w:t>
      </w:r>
    </w:p>
    <w:p>
      <w:pPr>
        <w:spacing w:after="0" w:line="75" w:lineRule="exact"/>
        <w:rPr>
          <w:rFonts w:ascii="Arial" w:cs="Arial" w:eastAsia="Arial" w:hAnsi="Arial"/>
          <w:sz w:val="18"/>
          <w:szCs w:val="18"/>
          <w:b w:val="1"/>
          <w:bCs w:val="1"/>
          <w:color w:val="auto"/>
        </w:rPr>
      </w:pPr>
    </w:p>
    <w:p>
      <w:pPr>
        <w:ind w:left="340" w:right="300" w:hanging="332"/>
        <w:spacing w:after="0" w:line="277"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Citi, Brooklyn Army Terminal, Attention: Prospectus Dept., 140 58</w:t>
      </w:r>
      <w:r>
        <w:rPr>
          <w:rFonts w:ascii="Arial" w:cs="Arial" w:eastAsia="Arial" w:hAnsi="Arial"/>
          <w:sz w:val="15"/>
          <w:szCs w:val="15"/>
          <w:color w:val="auto"/>
        </w:rPr>
        <w:t>th</w:t>
      </w:r>
      <w:r>
        <w:rPr>
          <w:rFonts w:ascii="Arial" w:cs="Arial" w:eastAsia="Arial" w:hAnsi="Arial"/>
          <w:sz w:val="18"/>
          <w:szCs w:val="18"/>
          <w:color w:val="auto"/>
        </w:rPr>
        <w:t xml:space="preserve"> Street, 8</w:t>
      </w:r>
      <w:r>
        <w:rPr>
          <w:rFonts w:ascii="Arial" w:cs="Arial" w:eastAsia="Arial" w:hAnsi="Arial"/>
          <w:sz w:val="15"/>
          <w:szCs w:val="15"/>
          <w:color w:val="auto"/>
        </w:rPr>
        <w:t>th</w:t>
      </w:r>
      <w:r>
        <w:rPr>
          <w:rFonts w:ascii="Arial" w:cs="Arial" w:eastAsia="Arial" w:hAnsi="Arial"/>
          <w:sz w:val="18"/>
          <w:szCs w:val="18"/>
          <w:color w:val="auto"/>
        </w:rPr>
        <w:t xml:space="preserve"> floor Brooklyn, NY 11220. By telephone (800) 831-9146 or by email </w:t>
      </w:r>
      <w:r>
        <w:rPr>
          <w:rFonts w:ascii="Arial" w:cs="Arial" w:eastAsia="Arial" w:hAnsi="Arial"/>
          <w:sz w:val="18"/>
          <w:szCs w:val="18"/>
          <w:u w:val="single" w:color="auto"/>
          <w:color w:val="auto"/>
        </w:rPr>
        <w:t>batprospectusdept@citi.com</w:t>
      </w:r>
    </w:p>
    <w:p>
      <w:pPr>
        <w:spacing w:after="0" w:line="75" w:lineRule="exact"/>
        <w:rPr>
          <w:rFonts w:ascii="Arial" w:cs="Arial" w:eastAsia="Arial" w:hAnsi="Arial"/>
          <w:sz w:val="18"/>
          <w:szCs w:val="18"/>
          <w:b w:val="1"/>
          <w:bCs w:val="1"/>
          <w:color w:val="auto"/>
        </w:rPr>
      </w:pPr>
    </w:p>
    <w:p>
      <w:pPr>
        <w:ind w:left="340" w:right="960" w:hanging="332"/>
        <w:spacing w:after="0" w:line="277"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Morgan Stanley, Attn: Prospectus Department,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By telephone (866) 718-1649 or by email </w:t>
      </w:r>
      <w:r>
        <w:rPr>
          <w:rFonts w:ascii="Arial" w:cs="Arial" w:eastAsia="Arial" w:hAnsi="Arial"/>
          <w:sz w:val="18"/>
          <w:szCs w:val="18"/>
          <w:u w:val="single" w:color="auto"/>
          <w:color w:val="auto"/>
        </w:rPr>
        <w:t>prospectus@morganstanley.com</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common units were offered and sold pursuant to an effective shelf registration statement previously filed with the Securities and Exchange Commission. This press release does not constitute an offer to sell or the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is being made only by means of a prospectus and related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About Targa Resources Partners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Targa Resources Partners was formed by Targa Resources, Inc. to engage in the business of gathering, compressing, treating, processing and selling natural gas and fractionating, treating and selling natural gas liquids and natural gas liquids products. Targa Resources Partners owns an extensive network of integrated gathering pipelines and natural gas processing plants and currently operates in the Permian Basin in West Texas, the Fort Worth Basin in North Texas and the Louisiana Gulf Coast primarily accessing the offshore region of Louisiana. Additionally, our natural gas liquids logistics and marketing assets are located primarily at Mont Belvieu and Galena Park near Houston, Texas and in Lake Charles, Louisiana with terminals and transportation assets across the United States. A subsidiary of Targa is the general partner of Targa Resources Partners.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Targa Resources Partners’ principal executive offices are located at 1000 Louisiana, Suite 4300, Houston, Texas 77002 and its telephone number is 713-584-1000.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Certain statements in this release are “forward-looking statements” within the meaning of Section 27A of the Securities Act of 1933, as amended, and Section 21E of the Securities Exchange Act of 1934, as amended. All statements, other than statements of historical facts, included in this release that address activities, events or developments that the Partnership expects, believes or anticipates will or may occur in the future are forward-looking statements. These forward-looking statements rely on a number of assumptions concerning future events and are subject to a number of uncertainties, factors and risks, many of which are outside Targa Resources Partners’ control, which could cause results to differ materially from those expected by management of Targa Resources Partners. Such risks and uncertainties include, but are not limited to, weather, political, economic and market conditions, including a decline in the price and market demand for natural gas and natural gas liquids, the timing and success of business development efforts; and other uncertainties. These and other applicable uncertainties, factors and risks are described more fully in the Partnership’s Annual Report on Form 10-K for the year ended December 31, 2009 and other reports filed with the Securities and Exchange Commission. Targa Resources Partners undertakes no obligation to update or revise any forward-looking statement,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713-584-1133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Anthony Riley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Manager — Finance / Investor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Matthew Meloy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Finance and Treasurer</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amp;"/>
      <w:numFmt w:val="bullet"/>
      <w:start w:val="1"/>
    </w:lvl>
  </w:abstractNum>
  <w:abstractNum w:abstractNumId="2">
    <w:nsid w:val="71F32454"/>
    <w:multiLevelType w:val="hybridMultilevel"/>
    <w:lvl w:ilvl="0">
      <w:lvlJc w:val="left"/>
      <w:lvlText w:val="%1."/>
      <w:numFmt w:val="decimal"/>
      <w:start w:val="1"/>
    </w:lvl>
    <w:lvl w:ilvl="1">
      <w:lvlJc w:val="left"/>
      <w:lvlText w:val="(%2)"/>
      <w:numFmt w:val="lowerLetter"/>
      <w:start w:val="1"/>
    </w:lvl>
  </w:abstractNum>
  <w:abstractNum w:abstractNumId="3">
    <w:nsid w:val="2CA88611"/>
    <w:multiLevelType w:val="hybridMultilevel"/>
    <w:lvl w:ilvl="0">
      <w:lvlJc w:val="left"/>
      <w:lvlText w:val="(%1)"/>
      <w:numFmt w:val="lowerLetter"/>
      <w:start w:val="3"/>
    </w:lvl>
  </w:abstractNum>
  <w:abstractNum w:abstractNumId="4">
    <w:nsid w:val="836C40E"/>
    <w:multiLevelType w:val="hybridMultilevel"/>
    <w:lvl w:ilvl="0">
      <w:lvlJc w:val="left"/>
      <w:lvlText w:val="(%1)"/>
      <w:numFmt w:val="lowerLetter"/>
      <w:start w:val="7"/>
    </w:lvl>
  </w:abstractNum>
  <w:abstractNum w:abstractNumId="5">
    <w:nsid w:val="2901D82"/>
    <w:multiLevelType w:val="hybridMultilevel"/>
    <w:lvl w:ilvl="0">
      <w:lvlJc w:val="left"/>
      <w:lvlText w:val="%1"/>
      <w:numFmt w:val="lowerLetter"/>
      <w:start w:val="1"/>
    </w:lvl>
    <w:lvl w:ilvl="1">
      <w:lvlJc w:val="left"/>
      <w:lvlText w:val="(%2)"/>
      <w:numFmt w:val="lowerLetter"/>
      <w:start w:val="10"/>
    </w:lvl>
  </w:abstractNum>
  <w:abstractNum w:abstractNumId="6">
    <w:nsid w:val="3A95F874"/>
    <w:multiLevelType w:val="hybridMultilevel"/>
    <w:lvl w:ilvl="0">
      <w:lvlJc w:val="left"/>
      <w:lvlText w:val="(%1)"/>
      <w:numFmt w:val="lowerLetter"/>
      <w:start w:val="35"/>
    </w:lvl>
    <w:lvl w:ilvl="1">
      <w:lvlJc w:val="left"/>
      <w:lvlText w:val="%2"/>
      <w:numFmt w:val="lowerLetter"/>
      <w:start w:val="1"/>
    </w:lvl>
  </w:abstractNum>
  <w:abstractNum w:abstractNumId="7">
    <w:nsid w:val="8138641"/>
    <w:multiLevelType w:val="hybridMultilevel"/>
    <w:lvl w:ilvl="0">
      <w:lvlJc w:val="left"/>
      <w:lvlText w:val="(%1)"/>
      <w:numFmt w:val="lowerLetter"/>
      <w:start w:val="13"/>
    </w:lvl>
  </w:abstractNum>
  <w:abstractNum w:abstractNumId="8">
    <w:nsid w:val="1E7FF521"/>
    <w:multiLevelType w:val="hybridMultilevel"/>
    <w:lvl w:ilvl="0">
      <w:lvlJc w:val="left"/>
      <w:lvlText w:val="(%1)"/>
      <w:numFmt w:val="lowerLetter"/>
      <w:start w:val="17"/>
    </w:lvl>
  </w:abstractNum>
  <w:abstractNum w:abstractNumId="9">
    <w:nsid w:val="7C3DBD3D"/>
    <w:multiLevelType w:val="hybridMultilevel"/>
    <w:lvl w:ilvl="0">
      <w:lvlJc w:val="left"/>
      <w:lvlText w:val="(%1)"/>
      <w:numFmt w:val="lowerLetter"/>
      <w:start w:val="19"/>
    </w:lvl>
  </w:abstractNum>
  <w:abstractNum w:abstractNumId="10">
    <w:nsid w:val="737B8DDC"/>
    <w:multiLevelType w:val="hybridMultilevel"/>
    <w:lvl w:ilvl="0">
      <w:lvlJc w:val="left"/>
      <w:lvlText w:val="%1"/>
      <w:numFmt w:val="lowerLetter"/>
      <w:start w:val="1"/>
    </w:lvl>
    <w:lvl w:ilvl="1">
      <w:lvlJc w:val="left"/>
      <w:lvlText w:val="(%2)"/>
      <w:numFmt w:val="lowerLetter"/>
      <w:start w:val="24"/>
    </w:lvl>
  </w:abstractNum>
  <w:abstractNum w:abstractNumId="11">
    <w:nsid w:val="6CEAF087"/>
    <w:multiLevelType w:val="hybridMultilevel"/>
    <w:lvl w:ilvl="0">
      <w:lvlJc w:val="left"/>
      <w:lvlText w:val="(%1)"/>
      <w:numFmt w:val="lowerLetter"/>
      <w:start w:val="61"/>
    </w:lvl>
    <w:lvl w:ilvl="1">
      <w:lvlJc w:val="left"/>
      <w:lvlText w:val="(%2)"/>
      <w:numFmt w:val="lowerLetter"/>
      <w:start w:val="27"/>
    </w:lvl>
  </w:abstractNum>
  <w:abstractNum w:abstractNumId="12">
    <w:nsid w:val="22221A70"/>
    <w:multiLevelType w:val="hybridMultilevel"/>
    <w:lvl w:ilvl="0">
      <w:lvlJc w:val="left"/>
      <w:lvlText w:val="(%1)"/>
      <w:numFmt w:val="lowerLetter"/>
      <w:start w:val="28"/>
    </w:lvl>
  </w:abstractNum>
  <w:abstractNum w:abstractNumId="13">
    <w:nsid w:val="4516DDE9"/>
    <w:multiLevelType w:val="hybridMultilevel"/>
    <w:lvl w:ilvl="0">
      <w:lvlJc w:val="left"/>
      <w:lvlText w:val="(%1)"/>
      <w:numFmt w:val="lowerLetter"/>
      <w:start w:val="33"/>
    </w:lvl>
  </w:abstractNum>
  <w:abstractNum w:abstractNumId="14">
    <w:nsid w:val="3006C83E"/>
    <w:multiLevelType w:val="hybridMultilevel"/>
    <w:lvl w:ilvl="0">
      <w:lvlJc w:val="left"/>
      <w:lvlText w:val="(%1)"/>
      <w:numFmt w:val="lowerLetter"/>
      <w:start w:val="35"/>
    </w:lvl>
  </w:abstractNum>
  <w:abstractNum w:abstractNumId="15">
    <w:nsid w:val="614FD4A1"/>
    <w:multiLevelType w:val="hybridMultilevel"/>
    <w:lvl w:ilvl="0">
      <w:lvlJc w:val="left"/>
      <w:lvlText w:val="(%1)"/>
      <w:numFmt w:val="lowerLetter"/>
      <w:start w:val="40"/>
    </w:lvl>
  </w:abstractNum>
  <w:abstractNum w:abstractNumId="16">
    <w:nsid w:val="419AC241"/>
    <w:multiLevelType w:val="hybridMultilevel"/>
    <w:lvl w:ilvl="0">
      <w:lvlJc w:val="left"/>
      <w:lvlText w:val="(%1)"/>
      <w:numFmt w:val="lowerLetter"/>
      <w:start w:val="44"/>
    </w:lvl>
  </w:abstractNum>
  <w:abstractNum w:abstractNumId="17">
    <w:nsid w:val="5577F8E1"/>
    <w:multiLevelType w:val="hybridMultilevel"/>
    <w:lvl w:ilvl="0">
      <w:lvlJc w:val="left"/>
      <w:lvlText w:val="%1."/>
      <w:numFmt w:val="decimal"/>
      <w:start w:val="2"/>
    </w:lvl>
  </w:abstractNum>
  <w:abstractNum w:abstractNumId="18">
    <w:nsid w:val="440BADFC"/>
    <w:multiLevelType w:val="hybridMultilevel"/>
    <w:lvl w:ilvl="0">
      <w:lvlJc w:val="left"/>
      <w:lvlText w:val="(%1)"/>
      <w:numFmt w:val="lowerLetter"/>
      <w:start w:val="2"/>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1">
    <w:nsid w:val="77465F0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2">
    <w:nsid w:val="7724C67E"/>
    <w:multiLevelType w:val="hybridMultilevel"/>
    <w:lvl w:ilvl="0">
      <w:lvlJc w:val="left"/>
      <w:lvlText w:val="(%1)"/>
      <w:numFmt w:val="lowerLetter"/>
      <w:start w:val="2"/>
    </w:lvl>
  </w:abstractNum>
  <w:abstractNum w:abstractNumId="23">
    <w:nsid w:val="5C482A97"/>
    <w:multiLevelType w:val="hybridMultilevel"/>
    <w:lvl w:ilvl="0">
      <w:lvlJc w:val="left"/>
      <w:lvlText w:val="(%1)"/>
      <w:numFmt w:val="lowerLetter"/>
      <w:start w:val="4"/>
    </w:lvl>
  </w:abstractNum>
  <w:abstractNum w:abstractNumId="24">
    <w:nsid w:val="2463B9EA"/>
    <w:multiLevelType w:val="hybridMultilevel"/>
    <w:lvl w:ilvl="0">
      <w:lvlJc w:val="left"/>
      <w:lvlText w:val="(%1)"/>
      <w:numFmt w:val="lowerLetter"/>
      <w:start w:val="8"/>
    </w:lvl>
  </w:abstractNum>
  <w:abstractNum w:abstractNumId="25">
    <w:nsid w:val="5E884ADC"/>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26">
    <w:nsid w:val="51EAD3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7">
    <w:nsid w:val="2D517796"/>
    <w:multiLevelType w:val="hybridMultilevel"/>
    <w:lvl w:ilvl="0">
      <w:lvlJc w:val="left"/>
      <w:lvlText w:val="(%1)"/>
      <w:numFmt w:val="lowerRoman"/>
      <w:start w:val="2"/>
    </w:lvl>
  </w:abstractNum>
  <w:abstractNum w:abstractNumId="28">
    <w:nsid w:val="580BD78F"/>
    <w:multiLevelType w:val="hybridMultilevel"/>
    <w:lvl w:ilvl="0">
      <w:lvlJc w:val="left"/>
      <w:lvlText w:val="%1"/>
      <w:numFmt w:val="lowerRoman"/>
      <w:start w:val="1"/>
    </w:lvl>
    <w:lvl w:ilvl="1">
      <w:lvlJc w:val="left"/>
      <w:lvlText w:val="(%2)"/>
      <w:numFmt w:val="lowerRoman"/>
      <w:start w:val="5"/>
    </w:lvl>
  </w:abstractNum>
  <w:abstractNum w:abstractNumId="29">
    <w:nsid w:val="153EA438"/>
    <w:multiLevelType w:val="hybridMultilevel"/>
    <w:lvl w:ilvl="0">
      <w:lvlJc w:val="left"/>
      <w:lvlText w:val="(%1)"/>
      <w:numFmt w:val="lowerRoman"/>
      <w:start w:val="2"/>
    </w:lvl>
    <w:lvl w:ilvl="1">
      <w:lvlJc w:val="left"/>
      <w:lvlText w:val="(%2)"/>
      <w:numFmt w:val="lowerRoman"/>
      <w:start w:val="6"/>
    </w:lvl>
  </w:abstractNum>
  <w:abstractNum w:abstractNumId="30">
    <w:nsid w:val="3855585C"/>
    <w:multiLevelType w:val="hybridMultilevel"/>
    <w:lvl w:ilvl="0">
      <w:lvlJc w:val="left"/>
      <w:lvlText w:val="(%1)"/>
      <w:numFmt w:val="lowerRoman"/>
      <w:start w:val="8"/>
    </w:lvl>
  </w:abstractNum>
  <w:abstractNum w:abstractNumId="31">
    <w:nsid w:val="70A64E2A"/>
    <w:multiLevelType w:val="hybridMultilevel"/>
    <w:lvl w:ilvl="0">
      <w:lvlJc w:val="left"/>
      <w:lvlText w:val="(%1)"/>
      <w:numFmt w:val="lowerRoman"/>
      <w:start w:val="9"/>
    </w:lvl>
  </w:abstractNum>
  <w:abstractNum w:abstractNumId="32">
    <w:nsid w:val="6A2342EC"/>
    <w:multiLevelType w:val="hybridMultilevel"/>
    <w:lvl w:ilvl="0">
      <w:lvlJc w:val="left"/>
      <w:lvlText w:val="(%1)"/>
      <w:numFmt w:val="lowerRoman"/>
      <w:start w:val="10"/>
    </w:lvl>
  </w:abstractNum>
  <w:abstractNum w:abstractNumId="33">
    <w:nsid w:val="2A487CB0"/>
    <w:multiLevelType w:val="hybridMultilevel"/>
    <w:lvl w:ilvl="0">
      <w:lvlJc w:val="left"/>
      <w:lvlText w:val="(%1)"/>
      <w:numFmt w:val="lowerRoman"/>
      <w:start w:val="14"/>
    </w:lvl>
  </w:abstractNum>
  <w:abstractNum w:abstractNumId="34">
    <w:nsid w:val="1D4ED43B"/>
    <w:multiLevelType w:val="hybridMultilevel"/>
    <w:lvl w:ilvl="0">
      <w:lvlJc w:val="left"/>
      <w:lvlText w:val="(%1)"/>
      <w:numFmt w:val="lowerRoman"/>
      <w:start w:val="16"/>
    </w:lvl>
  </w:abstractNum>
  <w:abstractNum w:abstractNumId="35">
    <w:nsid w:val="725A06FB"/>
    <w:multiLevelType w:val="hybridMultilevel"/>
    <w:lvl w:ilvl="0">
      <w:lvlJc w:val="left"/>
      <w:lvlText w:val="(%1)"/>
      <w:numFmt w:val="lowerRoman"/>
      <w:start w:val="20"/>
    </w:lvl>
  </w:abstractNum>
  <w:abstractNum w:abstractNumId="36">
    <w:nsid w:val="2CD89A32"/>
    <w:multiLevelType w:val="hybridMultilevel"/>
    <w:lvl w:ilvl="0">
      <w:lvlJc w:val="left"/>
      <w:lvlText w:val="(%1)"/>
      <w:numFmt w:val="upperLetter"/>
      <w:start w:val="1"/>
    </w:lvl>
  </w:abstractNum>
  <w:abstractNum w:abstractNumId="37">
    <w:nsid w:val="57E4CCAF"/>
    <w:multiLevelType w:val="hybridMultilevel"/>
    <w:lvl w:ilvl="0">
      <w:lvlJc w:val="left"/>
      <w:lvlText w:val="(%1)"/>
      <w:numFmt w:val="upperLetter"/>
      <w:start w:val="1"/>
    </w:lvl>
  </w:abstractNum>
  <w:abstractNum w:abstractNumId="38">
    <w:nsid w:val="7A6D8D3C"/>
    <w:multiLevelType w:val="hybridMultilevel"/>
    <w:lvl w:ilvl="0">
      <w:lvlJc w:val="left"/>
      <w:lvlText w:val="(%1)"/>
      <w:numFmt w:val="upperLetter"/>
      <w:start w:val="2"/>
    </w:lvl>
  </w:abstractNum>
  <w:abstractNum w:abstractNumId="39">
    <w:nsid w:val="4B588F54"/>
    <w:multiLevelType w:val="hybridMultilevel"/>
    <w:lvl w:ilvl="0">
      <w:lvlJc w:val="left"/>
      <w:lvlText w:val="(%1)"/>
      <w:numFmt w:val="lowerLetter"/>
      <w:start w:val="3"/>
    </w:lvl>
    <w:lvl w:ilvl="1">
      <w:lvlJc w:val="left"/>
      <w:lvlText w:val="(%2)"/>
      <w:numFmt w:val="lowerRoman"/>
      <w:start w:val="1"/>
    </w:lvl>
  </w:abstractNum>
  <w:abstractNum w:abstractNumId="40">
    <w:nsid w:val="542289EC"/>
    <w:multiLevelType w:val="hybridMultilevel"/>
    <w:lvl w:ilvl="0">
      <w:lvlJc w:val="left"/>
      <w:lvlText w:val="(%1)"/>
      <w:numFmt w:val="lowerLetter"/>
      <w:start w:val="5"/>
    </w:lvl>
  </w:abstractNum>
  <w:abstractNum w:abstractNumId="41">
    <w:nsid w:val="6DE91B18"/>
    <w:multiLevelType w:val="hybridMultilevel"/>
    <w:lvl w:ilvl="0">
      <w:lvlJc w:val="left"/>
      <w:lvlText w:val="%1."/>
      <w:numFmt w:val="decimal"/>
      <w:start w:val="7"/>
    </w:lvl>
    <w:lvl w:ilvl="1">
      <w:lvlJc w:val="left"/>
      <w:lvlText w:val="(%2)"/>
      <w:numFmt w:val="lowerLetter"/>
      <w:start w:val="1"/>
    </w:lvl>
  </w:abstractNum>
  <w:abstractNum w:abstractNumId="42">
    <w:nsid w:val="38437FDB"/>
    <w:multiLevelType w:val="hybridMultilevel"/>
    <w:lvl w:ilvl="0">
      <w:lvlJc w:val="left"/>
      <w:lvlText w:val="(%1)"/>
      <w:numFmt w:val="lowerLetter"/>
      <w:start w:val="9"/>
    </w:lvl>
    <w:lvl w:ilvl="1">
      <w:lvlJc w:val="left"/>
      <w:lvlText w:val="(%2)"/>
      <w:numFmt w:val="lowerLetter"/>
      <w:start w:val="3"/>
    </w:lvl>
  </w:abstractNum>
  <w:abstractNum w:abstractNumId="43">
    <w:nsid w:val="7644A45C"/>
    <w:multiLevelType w:val="hybridMultilevel"/>
    <w:lvl w:ilvl="0">
      <w:lvlJc w:val="left"/>
      <w:lvlText w:val="(%1)"/>
      <w:numFmt w:val="lowerLetter"/>
      <w:start w:val="1"/>
    </w:lvl>
    <w:lvl w:ilvl="1">
      <w:lvlJc w:val="left"/>
      <w:lvlText w:val="%2"/>
      <w:numFmt w:val="lowerLetter"/>
      <w:start w:val="1"/>
    </w:lvl>
  </w:abstractNum>
  <w:abstractNum w:abstractNumId="44">
    <w:nsid w:val="32FFF902"/>
    <w:multiLevelType w:val="hybridMultilevel"/>
    <w:lvl w:ilvl="0">
      <w:lvlJc w:val="left"/>
      <w:lvlText w:val="%1"/>
      <w:numFmt w:val="decimal"/>
      <w:start w:val="1"/>
    </w:lvl>
    <w:lvl w:ilvl="1">
      <w:lvlJc w:val="left"/>
      <w:lvlText w:val="(%2)"/>
      <w:numFmt w:val="lowerLetter"/>
      <w:start w:val="4"/>
    </w:lvl>
  </w:abstractNum>
  <w:abstractNum w:abstractNumId="45">
    <w:nsid w:val="684A481A"/>
    <w:multiLevelType w:val="hybridMultilevel"/>
    <w:lvl w:ilvl="0">
      <w:lvlJc w:val="left"/>
      <w:lvlText w:val="%1."/>
      <w:numFmt w:val="decimal"/>
      <w:start w:val="9"/>
    </w:lvl>
    <w:lvl w:ilvl="1">
      <w:lvlJc w:val="left"/>
      <w:lvlText w:val="%2"/>
      <w:numFmt w:val="lowerLetter"/>
      <w:start w:val="1"/>
    </w:lvl>
  </w:abstractNum>
  <w:abstractNum w:abstractNumId="46">
    <w:nsid w:val="579478FE"/>
    <w:multiLevelType w:val="hybridMultilevel"/>
    <w:lvl w:ilvl="0">
      <w:lvlJc w:val="left"/>
      <w:lvlText w:val="%1."/>
      <w:numFmt w:val="decimal"/>
      <w:start w:val="10"/>
    </w:lvl>
  </w:abstractNum>
  <w:abstractNum w:abstractNumId="47">
    <w:nsid w:val="749ABB43"/>
    <w:multiLevelType w:val="hybridMultilevel"/>
    <w:lvl w:ilvl="0">
      <w:lvlJc w:val="left"/>
      <w:lvlText w:val="%1"/>
      <w:numFmt w:val="lowerLetter"/>
      <w:start w:val="1"/>
    </w:lvl>
    <w:lvl w:ilvl="1">
      <w:lvlJc w:val="left"/>
      <w:lvlText w:val="%2."/>
      <w:numFmt w:val="decimal"/>
      <w:start w:val="13"/>
    </w:lvl>
  </w:abstractNum>
  <w:abstractNum w:abstractNumId="48">
    <w:nsid w:val="3DC240FB"/>
    <w:multiLevelType w:val="hybridMultilevel"/>
    <w:lvl w:ilvl="0">
      <w:lvlJc w:val="left"/>
      <w:lvlText w:val="(%1)"/>
      <w:numFmt w:val="lowerLetter"/>
      <w:start w:val="2"/>
    </w:lvl>
    <w:lvl w:ilvl="1">
      <w:lvlJc w:val="left"/>
      <w:lvlText w:val="%2."/>
      <w:numFmt w:val="decimal"/>
      <w:start w:val="15"/>
    </w:lvl>
  </w:abstractNum>
  <w:abstractNum w:abstractNumId="49">
    <w:nsid w:val="1BA026FA"/>
    <w:multiLevelType w:val="hybridMultilevel"/>
    <w:lvl w:ilvl="0">
      <w:lvlJc w:val="left"/>
      <w:lvlText w:val="%1."/>
      <w:numFmt w:val="decimal"/>
      <w:start w:val="17"/>
    </w:lvl>
  </w:abstractNum>
  <w:abstractNum w:abstractNumId="50">
    <w:nsid w:val="79A1DEAA"/>
    <w:multiLevelType w:val="hybridMultilevel"/>
    <w:lvl w:ilvl="0">
      <w:lvlJc w:val="left"/>
      <w:lvlText w:val="(%1)"/>
      <w:numFmt w:val="lowerRoman"/>
      <w:start w:val="2"/>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2019-12-11T03:20:14Z</dcterms:created>
  <dcterms:modified xsi:type="dcterms:W3CDTF">2019-12-11T03:20:14Z</dcterms:modified>
</cp:coreProperties>
</file>