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04824d8k.htm"/>
      <w:bookmarkStart w:id="1" w:name="ksd804824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16,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TARGA RESOURCES CORP.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001-34991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20-3701075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811 Louisiana St, Suite 2100</w:t>
      </w:r>
    </w:p>
    <w:p>
      <w:pPr>
        <w:pStyle w:val="TextBody"/>
        <w:bidi w:val="0"/>
        <w:spacing w:before="0" w:after="0"/>
        <w:jc w:val="center"/>
        <w:rPr>
          <w:rFonts w:ascii="Times New Roman" w:hAnsi="Times New Roman"/>
          <w:b/>
          <w:sz w:val="20"/>
        </w:rPr>
      </w:pPr>
      <w:r>
        <w:rPr>
          <w:rFonts w:ascii="Times New Roman" w:hAnsi="Times New Roman"/>
          <w:b/>
          <w:sz w:val="20"/>
        </w:rPr>
        <w:t>Houston, TX 77002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 and Zip Code)</w:t>
      </w:r>
    </w:p>
    <w:p>
      <w:pPr>
        <w:pStyle w:val="TextBody"/>
        <w:bidi w:val="0"/>
        <w:spacing w:before="240" w:after="0"/>
        <w:jc w:val="center"/>
        <w:rPr>
          <w:rFonts w:ascii="Times New Roman" w:hAnsi="Times New Roman"/>
          <w:b/>
          <w:sz w:val="20"/>
        </w:rPr>
      </w:pPr>
      <w:r>
        <w:rPr>
          <w:rFonts w:ascii="Times New Roman" w:hAnsi="Times New Roman"/>
          <w:b/>
          <w:sz w:val="20"/>
        </w:rPr>
        <w:t>(713) 584-1000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965" w:type="dxa"/>
        <w:jc w:val="left"/>
        <w:tblInd w:w="0" w:type="dxa"/>
        <w:tblLayout w:type="fixed"/>
        <w:tblCellMar>
          <w:top w:w="0" w:type="dxa"/>
          <w:left w:w="0" w:type="dxa"/>
          <w:bottom w:w="0" w:type="dxa"/>
          <w:right w:w="0" w:type="dxa"/>
        </w:tblCellMar>
      </w:tblPr>
      <w:tblGrid>
        <w:gridCol w:w="1475"/>
        <w:gridCol w:w="60"/>
        <w:gridCol w:w="710"/>
        <w:gridCol w:w="60"/>
        <w:gridCol w:w="2660"/>
      </w:tblGrid>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4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475"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TRGP</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Targa Resources Corp. (the “Company”) held its 2024 Annual Meeting of Stockholders (the “Annual Meeting”) on May 16, 2024. At the Annual Meeting, the Company’s stockholders were requested to: (1) elect three Class II Directors to serve on the Company’s Board of Directors (the “Board”) for a term of office expiring at the Company’s 2027 Annual Meeting of Stockholders; (2) ratify the selection of PricewaterhouseCoopers LLP as the Company’s independent auditors for 2024; and (3) approve, on an advisory basis, the compensation of the Company’s named executive officers for the fiscal year ended December 31, 2023. The following are the final voting results on proposals considered and voted upon at the Annual Meeting, each of which is more fully described in the Company’s definitive proxy statement on Schedule 14A filed with the Securities and Exchange Commission on March 21, 2024: </w:t>
      </w:r>
    </w:p>
    <w:p>
      <w:pPr>
        <w:pStyle w:val="TextBody"/>
        <w:bidi w:val="0"/>
        <w:spacing w:before="240" w:after="0"/>
        <w:jc w:val="left"/>
        <w:rPr>
          <w:rFonts w:ascii="Times New Roman" w:hAnsi="Times New Roman"/>
          <w:sz w:val="20"/>
        </w:rPr>
      </w:pPr>
      <w:r>
        <w:rPr>
          <w:rFonts w:ascii="Times New Roman" w:hAnsi="Times New Roman"/>
          <w:sz w:val="20"/>
        </w:rPr>
        <w:t xml:space="preserve">1. Each of the three Class II directors that was up for re-election was elected for a term of three years expiring at the Company’s 2027 Annual Meeting of Stockholders. Votes regarding the election of these directors were as follows: </w:t>
      </w:r>
    </w:p>
    <w:p>
      <w:pPr>
        <w:pStyle w:val="TextBody"/>
        <w:bidi w:val="0"/>
        <w:spacing w:before="0" w:after="0"/>
        <w:jc w:val="left"/>
        <w:rPr/>
      </w:pPr>
      <w:r>
        <w:rPr/>
        <w:t> </w:t>
      </w:r>
    </w:p>
    <w:tbl>
      <w:tblPr>
        <w:tblW w:w="7045" w:type="dxa"/>
        <w:jc w:val="left"/>
        <w:tblInd w:w="0" w:type="dxa"/>
        <w:tblLayout w:type="fixed"/>
        <w:tblCellMar>
          <w:top w:w="0" w:type="dxa"/>
          <w:left w:w="0" w:type="dxa"/>
          <w:bottom w:w="0" w:type="dxa"/>
          <w:right w:w="0" w:type="dxa"/>
        </w:tblCellMar>
      </w:tblPr>
      <w:tblGrid>
        <w:gridCol w:w="1730"/>
        <w:gridCol w:w="60"/>
        <w:gridCol w:w="1220"/>
        <w:gridCol w:w="60"/>
        <w:gridCol w:w="1100"/>
        <w:gridCol w:w="60"/>
        <w:gridCol w:w="965"/>
        <w:gridCol w:w="60"/>
        <w:gridCol w:w="1790"/>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NOMINEE</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VOTES</w:t>
            </w:r>
          </w:p>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VOTES</w:t>
            </w:r>
          </w:p>
          <w:p>
            <w:pPr>
              <w:pStyle w:val="TableContents"/>
              <w:bidi w:val="0"/>
              <w:spacing w:before="0" w:after="20"/>
              <w:jc w:val="center"/>
              <w:rPr>
                <w:rFonts w:ascii="Times New Roman" w:hAnsi="Times New Roman"/>
                <w:b/>
                <w:sz w:val="16"/>
              </w:rPr>
            </w:pPr>
            <w:r>
              <w:rPr>
                <w:rFonts w:ascii="Times New Roman" w:hAnsi="Times New Roman"/>
                <w:b/>
                <w:sz w:val="16"/>
              </w:rPr>
              <w:t>ABSTAINED</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Beth A. Bowman</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177,503,989</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11,326,539</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82,961</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pPr>
            <w:r>
              <w:rPr/>
              <w:t>15,231,119</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Lindsey M. Cooksen</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158,324,750</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30,499,875</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88,866</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right"/>
              <w:rPr/>
            </w:pPr>
            <w:r>
              <w:rPr/>
              <w:t>15,231,117</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Joe Bob Perkins</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163,672,395</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25,158,537</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82,558</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pPr>
            <w:r>
              <w:rPr/>
              <w:t>15,231,118</w:t>
            </w:r>
          </w:p>
        </w:tc>
      </w:tr>
    </w:tbl>
    <w:p>
      <w:pPr>
        <w:pStyle w:val="TextBody"/>
        <w:bidi w:val="0"/>
        <w:spacing w:before="240" w:after="0"/>
        <w:jc w:val="left"/>
        <w:rPr>
          <w:rFonts w:ascii="Times New Roman" w:hAnsi="Times New Roman"/>
          <w:sz w:val="20"/>
        </w:rPr>
      </w:pPr>
      <w:r>
        <w:rPr>
          <w:rFonts w:ascii="Times New Roman" w:hAnsi="Times New Roman"/>
          <w:sz w:val="20"/>
        </w:rPr>
        <w:t xml:space="preserve">2. PricewaterhouseCoopers LLP was ratified as the Company’s independent auditors for 2024. The voting results were as follows: </w:t>
      </w:r>
    </w:p>
    <w:p>
      <w:pPr>
        <w:pStyle w:val="TextBody"/>
        <w:bidi w:val="0"/>
        <w:spacing w:before="0" w:after="0"/>
        <w:jc w:val="left"/>
        <w:rPr/>
      </w:pPr>
      <w:r>
        <w:rPr/>
        <w:t> </w:t>
      </w:r>
    </w:p>
    <w:tbl>
      <w:tblPr>
        <w:tblW w:w="4305" w:type="dxa"/>
        <w:jc w:val="left"/>
        <w:tblInd w:w="0" w:type="dxa"/>
        <w:tblLayout w:type="fixed"/>
        <w:tblCellMar>
          <w:top w:w="0" w:type="dxa"/>
          <w:left w:w="0" w:type="dxa"/>
          <w:bottom w:w="0" w:type="dxa"/>
          <w:right w:w="0" w:type="dxa"/>
        </w:tblCellMar>
      </w:tblPr>
      <w:tblGrid>
        <w:gridCol w:w="1235"/>
        <w:gridCol w:w="60"/>
        <w:gridCol w:w="1370"/>
        <w:gridCol w:w="60"/>
        <w:gridCol w:w="158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ABSTAINED</w:t>
            </w:r>
          </w:p>
        </w:tc>
      </w:tr>
      <w:tr>
        <w:trPr/>
        <w:tc>
          <w:tcPr>
            <w:tcW w:w="1235" w:type="dxa"/>
            <w:tcBorders/>
            <w:shd w:fill="CCEEFF" w:val="clear"/>
            <w:vAlign w:val="center"/>
          </w:tcPr>
          <w:p>
            <w:pPr>
              <w:pStyle w:val="TableContents"/>
              <w:bidi w:val="0"/>
              <w:spacing w:before="0" w:after="283"/>
              <w:jc w:val="center"/>
              <w:rPr/>
            </w:pPr>
            <w:r>
              <w:rPr/>
              <w:t>200,562,193</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3,499,855</w:t>
            </w:r>
          </w:p>
        </w:tc>
        <w:tc>
          <w:tcPr>
            <w:tcW w:w="6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t>82,560</w:t>
            </w:r>
          </w:p>
        </w:tc>
      </w:tr>
    </w:tbl>
    <w:p>
      <w:pPr>
        <w:pStyle w:val="TextBody"/>
        <w:bidi w:val="0"/>
        <w:spacing w:before="240" w:after="0"/>
        <w:jc w:val="left"/>
        <w:rPr>
          <w:rFonts w:ascii="Times New Roman" w:hAnsi="Times New Roman"/>
          <w:sz w:val="20"/>
        </w:rPr>
      </w:pPr>
      <w:r>
        <w:rPr>
          <w:rFonts w:ascii="Times New Roman" w:hAnsi="Times New Roman"/>
          <w:sz w:val="20"/>
        </w:rPr>
        <w:t xml:space="preserve">3. The Board proposal seeking approval, on an advisory basis, of the compensation of the Company’s named executive officers was approved. The voting results were as follows: </w:t>
      </w:r>
    </w:p>
    <w:p>
      <w:pPr>
        <w:pStyle w:val="TextBody"/>
        <w:bidi w:val="0"/>
        <w:spacing w:before="0" w:after="0"/>
        <w:jc w:val="left"/>
        <w:rPr/>
      </w:pPr>
      <w:r>
        <w:rPr/>
        <w:t> </w:t>
      </w:r>
    </w:p>
    <w:tbl>
      <w:tblPr>
        <w:tblW w:w="6140" w:type="dxa"/>
        <w:jc w:val="left"/>
        <w:tblInd w:w="0" w:type="dxa"/>
        <w:tblLayout w:type="fixed"/>
        <w:tblCellMar>
          <w:top w:w="0" w:type="dxa"/>
          <w:left w:w="0" w:type="dxa"/>
          <w:bottom w:w="0" w:type="dxa"/>
          <w:right w:w="0" w:type="dxa"/>
        </w:tblCellMar>
      </w:tblPr>
      <w:tblGrid>
        <w:gridCol w:w="1235"/>
        <w:gridCol w:w="60"/>
        <w:gridCol w:w="1370"/>
        <w:gridCol w:w="60"/>
        <w:gridCol w:w="1565"/>
        <w:gridCol w:w="60"/>
        <w:gridCol w:w="179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15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ABSTAINED</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180,236,248</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8,474,850</w:t>
            </w:r>
          </w:p>
        </w:tc>
        <w:tc>
          <w:tcPr>
            <w:tcW w:w="6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center"/>
              <w:rPr/>
            </w:pPr>
            <w:r>
              <w:rPr/>
              <w:t>202,388</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center"/>
              <w:rPr/>
            </w:pPr>
            <w:r>
              <w:rPr/>
              <w:t>15,231,122</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342" w:type="dxa"/>
        <w:jc w:val="left"/>
        <w:tblInd w:w="0" w:type="dxa"/>
        <w:tblLayout w:type="fixed"/>
        <w:tblCellMar>
          <w:top w:w="0" w:type="dxa"/>
          <w:left w:w="0" w:type="dxa"/>
          <w:bottom w:w="0" w:type="dxa"/>
          <w:right w:w="0" w:type="dxa"/>
        </w:tblCellMar>
      </w:tblPr>
      <w:tblGrid>
        <w:gridCol w:w="2060"/>
        <w:gridCol w:w="60"/>
        <w:gridCol w:w="23"/>
        <w:gridCol w:w="60"/>
        <w:gridCol w:w="432"/>
        <w:gridCol w:w="71"/>
        <w:gridCol w:w="2636"/>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39" w:type="dxa"/>
            <w:gridSpan w:val="3"/>
            <w:tcBorders/>
            <w:vAlign w:val="center"/>
          </w:tcPr>
          <w:p>
            <w:pPr>
              <w:pStyle w:val="TableContents"/>
              <w:bidi w:val="0"/>
              <w:spacing w:before="0" w:after="283"/>
              <w:jc w:val="left"/>
              <w:rPr/>
            </w:pPr>
            <w:r>
              <w:rPr/>
              <w:t>TARGA RESOURCES CORP.</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2707"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Dated: May 17,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By:</w:t>
            </w:r>
          </w:p>
        </w:tc>
        <w:tc>
          <w:tcPr>
            <w:tcW w:w="71" w:type="dxa"/>
            <w:tcBorders/>
            <w:vAlign w:val="center"/>
          </w:tcPr>
          <w:p>
            <w:pPr>
              <w:pStyle w:val="TableContents"/>
              <w:bidi w:val="0"/>
              <w:spacing w:before="0" w:after="283"/>
              <w:jc w:val="left"/>
              <w:rPr/>
            </w:pPr>
            <w:r>
              <w:rPr/>
              <w:t> </w:t>
            </w:r>
          </w:p>
        </w:tc>
        <w:tc>
          <w:tcPr>
            <w:tcW w:w="263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R. Kneale</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2636" w:type="dxa"/>
            <w:tcBorders/>
            <w:vAlign w:val="center"/>
          </w:tcPr>
          <w:p>
            <w:pPr>
              <w:pStyle w:val="TableContents"/>
              <w:bidi w:val="0"/>
              <w:spacing w:before="0" w:after="283"/>
              <w:jc w:val="left"/>
              <w:rPr/>
            </w:pPr>
            <w:r>
              <w:rPr/>
              <w:t>Jennifer R. Kneale</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2636"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632</Words>
  <Characters>3485</Characters>
  <CharactersWithSpaces>4110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