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March 21, 2025</w:t>
      </w:r>
    </w:p>
    <w:p>
      <w:pPr>
        <w:spacing w:after="0" w:line="6" w:lineRule="exact"/>
        <w:rPr>
          <w:sz w:val="24"/>
          <w:szCs w:val="24"/>
          <w:color w:val="auto"/>
        </w:rPr>
      </w:pPr>
    </w:p>
    <w:p>
      <w:pPr>
        <w:ind w:left="9460"/>
        <w:spacing w:after="0"/>
        <w:rPr>
          <w:sz w:val="20"/>
          <w:szCs w:val="20"/>
          <w:color w:val="auto"/>
        </w:rPr>
      </w:pPr>
      <w:r>
        <w:rPr>
          <w:rFonts w:ascii="Times New Roman" w:cs="Times New Roman" w:eastAsia="Times New Roman" w:hAnsi="Times New Roman"/>
          <w:sz w:val="14"/>
          <w:szCs w:val="14"/>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146050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11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154305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Targa Resources Corp.*</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7" w:lineRule="exact"/>
        <w:rPr>
          <w:sz w:val="24"/>
          <w:szCs w:val="24"/>
          <w:color w:val="auto"/>
        </w:rPr>
      </w:pPr>
    </w:p>
    <w:tbl>
      <w:tblPr>
        <w:tblLayout w:type="fixed"/>
        <w:tblInd w:w="2080" w:type="dxa"/>
        <w:tblCellMar>
          <w:top w:w="0" w:type="dxa"/>
          <w:left w:w="0" w:type="dxa"/>
          <w:bottom w:w="0" w:type="dxa"/>
          <w:right w:w="0" w:type="dxa"/>
        </w:tblCellMar>
      </w:tblPr>
      <w:tr>
        <w:trPr>
          <w:trHeight w:val="161"/>
        </w:trPr>
        <w:tc>
          <w:tcPr>
            <w:tcW w:w="3760" w:type="dxa"/>
            <w:vAlign w:val="bottom"/>
          </w:tcPr>
          <w:p>
            <w:pPr>
              <w:jc w:val="center"/>
              <w:ind w:right="2074"/>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120" w:type="dxa"/>
            <w:vAlign w:val="bottom"/>
          </w:tcPr>
          <w:p>
            <w:pPr>
              <w:jc w:val="center"/>
              <w:ind w:left="2054"/>
              <w:spacing w:after="0"/>
              <w:rPr>
                <w:sz w:val="20"/>
                <w:szCs w:val="20"/>
                <w:color w:val="auto"/>
              </w:rPr>
            </w:pPr>
            <w:r>
              <w:rPr>
                <w:rFonts w:ascii="Times New Roman" w:cs="Times New Roman" w:eastAsia="Times New Roman" w:hAnsi="Times New Roman"/>
                <w:sz w:val="14"/>
                <w:szCs w:val="14"/>
                <w:b w:val="1"/>
                <w:bCs w:val="1"/>
                <w:color w:val="auto"/>
              </w:rPr>
              <w:t>20-3701075</w:t>
            </w:r>
          </w:p>
        </w:tc>
      </w:tr>
      <w:tr>
        <w:trPr>
          <w:trHeight w:val="135"/>
        </w:trPr>
        <w:tc>
          <w:tcPr>
            <w:tcW w:w="3760" w:type="dxa"/>
            <w:vAlign w:val="bottom"/>
          </w:tcPr>
          <w:p>
            <w:pPr>
              <w:jc w:val="center"/>
              <w:ind w:right="2054"/>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3120" w:type="dxa"/>
            <w:vAlign w:val="bottom"/>
          </w:tcPr>
          <w:p>
            <w:pPr>
              <w:jc w:val="center"/>
              <w:ind w:left="2054"/>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3760" w:type="dxa"/>
            <w:vAlign w:val="bottom"/>
          </w:tcPr>
          <w:p>
            <w:pPr>
              <w:jc w:val="center"/>
              <w:ind w:right="205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120" w:type="dxa"/>
            <w:vAlign w:val="bottom"/>
          </w:tcPr>
          <w:p>
            <w:pPr>
              <w:jc w:val="center"/>
              <w:ind w:left="2054"/>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bl>
    <w:p>
      <w:pPr>
        <w:spacing w:after="0" w:line="8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811 Louisiana St, Suite 2100</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Houston, Texas 77002</w:t>
      </w:r>
    </w:p>
    <w:p>
      <w:pPr>
        <w:jc w:val="center"/>
        <w:ind w:right="-119"/>
        <w:spacing w:after="0" w:line="225" w:lineRule="auto"/>
        <w:rPr>
          <w:sz w:val="20"/>
          <w:szCs w:val="20"/>
          <w:color w:val="auto"/>
        </w:rPr>
      </w:pPr>
      <w:r>
        <w:rPr>
          <w:rFonts w:ascii="Times New Roman" w:cs="Times New Roman" w:eastAsia="Times New Roman" w:hAnsi="Times New Roman"/>
          <w:sz w:val="14"/>
          <w:szCs w:val="14"/>
          <w:b w:val="1"/>
          <w:bCs w:val="1"/>
          <w:color w:val="auto"/>
        </w:rPr>
        <w:t>(713) 584-1000</w:t>
      </w: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139065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William A. Byers</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Targa Resources Corp.</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811 Louisiana St, Suite 2100</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Houston, Texas 77002</w:t>
      </w:r>
    </w:p>
    <w:p>
      <w:pPr>
        <w:jc w:val="center"/>
        <w:ind w:right="-119"/>
        <w:spacing w:after="0" w:line="225" w:lineRule="auto"/>
        <w:rPr>
          <w:sz w:val="20"/>
          <w:szCs w:val="20"/>
          <w:color w:val="auto"/>
        </w:rPr>
      </w:pPr>
      <w:r>
        <w:rPr>
          <w:rFonts w:ascii="Times New Roman" w:cs="Times New Roman" w:eastAsia="Times New Roman" w:hAnsi="Times New Roman"/>
          <w:sz w:val="14"/>
          <w:szCs w:val="14"/>
          <w:b w:val="1"/>
          <w:bCs w:val="1"/>
          <w:color w:val="auto"/>
        </w:rPr>
        <w:t>(713) 584-1000</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139065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spacing w:after="0" w:line="9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Michael S. Telle</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Benjamin R. Barron</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Vinson &amp; Elkins L.L.P.</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845 Texas Avenue, Suite 4700</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Houston, Texas 77002</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(713) 758-2222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4" w:lineRule="exact"/>
        <w:rPr>
          <w:sz w:val="24"/>
          <w:szCs w:val="24"/>
          <w:color w:val="auto"/>
        </w:rPr>
      </w:pPr>
    </w:p>
    <w:p>
      <w:pPr>
        <w:ind w:left="120" w:right="840"/>
        <w:spacing w:after="0" w:line="241" w:lineRule="exact"/>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r>
        <w:rPr>
          <w:rFonts w:ascii="Times New Roman" w:cs="Times New Roman" w:eastAsia="Times New Roman" w:hAnsi="Times New Roman"/>
          <w:sz w:val="14"/>
          <w:szCs w:val="14"/>
          <w:color w:val="auto"/>
        </w:rPr>
        <w:t>: From time to time after the effective date of this Registration Statement, as determined by the registrant.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60" w:lineRule="exact"/>
        <w:rPr>
          <w:sz w:val="24"/>
          <w:szCs w:val="24"/>
          <w:color w:val="auto"/>
        </w:rPr>
      </w:pPr>
    </w:p>
    <w:p>
      <w:pPr>
        <w:ind w:left="120" w:right="280"/>
        <w:spacing w:after="0" w:line="18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60" w:lineRule="exact"/>
        <w:rPr>
          <w:sz w:val="24"/>
          <w:szCs w:val="24"/>
          <w:color w:val="auto"/>
        </w:rPr>
      </w:pPr>
    </w:p>
    <w:p>
      <w:pPr>
        <w:ind w:left="120" w:right="32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0" w:lineRule="exact"/>
        <w:rPr>
          <w:sz w:val="24"/>
          <w:szCs w:val="24"/>
          <w:color w:val="auto"/>
        </w:rPr>
      </w:pPr>
    </w:p>
    <w:p>
      <w:pPr>
        <w:ind w:left="120" w:right="3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0" w:lineRule="exact"/>
        <w:rPr>
          <w:sz w:val="24"/>
          <w:szCs w:val="24"/>
          <w:color w:val="auto"/>
        </w:rPr>
      </w:pPr>
    </w:p>
    <w:p>
      <w:pPr>
        <w:ind w:left="12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60" w:lineRule="exact"/>
        <w:rPr>
          <w:sz w:val="24"/>
          <w:szCs w:val="24"/>
          <w:color w:val="auto"/>
        </w:rPr>
      </w:pPr>
    </w:p>
    <w:p>
      <w:pPr>
        <w:ind w:left="120" w:right="6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60" w:lineRule="exact"/>
        <w:rPr>
          <w:sz w:val="24"/>
          <w:szCs w:val="24"/>
          <w:color w:val="auto"/>
        </w:rPr>
      </w:pPr>
    </w:p>
    <w:p>
      <w:pPr>
        <w:ind w:left="120" w:right="20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225" w:right="459" w:bottom="853" w:gutter="0" w:footer="0" w:header="0"/>
        </w:sectPr>
      </w:pPr>
    </w:p>
    <w:p>
      <w:pPr>
        <w:spacing w:after="0" w:line="51" w:lineRule="exact"/>
        <w:rPr>
          <w:sz w:val="24"/>
          <w:szCs w:val="24"/>
          <w:color w:val="auto"/>
        </w:rPr>
      </w:pPr>
    </w:p>
    <w:p>
      <w:pPr>
        <w:ind w:left="120"/>
        <w:spacing w:after="0" w:line="161" w:lineRule="exact"/>
        <w:tabs>
          <w:tab w:leader="none" w:pos="1640" w:val="left"/>
          <w:tab w:leader="none" w:pos="912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w:t>
      </w:r>
    </w:p>
    <w:p>
      <w:pPr>
        <w:spacing w:after="0" w:line="81" w:lineRule="exact"/>
        <w:rPr>
          <w:sz w:val="24"/>
          <w:szCs w:val="24"/>
          <w:color w:val="auto"/>
        </w:rPr>
      </w:pPr>
    </w:p>
    <w:p>
      <w:pPr>
        <w:ind w:left="120"/>
        <w:spacing w:after="0" w:line="161" w:lineRule="exact"/>
        <w:tabs>
          <w:tab w:leader="none" w:pos="1640" w:val="left"/>
          <w:tab w:leader="none" w:pos="912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47" w:lineRule="exact"/>
        <w:rPr>
          <w:sz w:val="24"/>
          <w:szCs w:val="24"/>
          <w:color w:val="auto"/>
        </w:rPr>
      </w:pPr>
    </w:p>
    <w:p>
      <w:pPr>
        <w:ind w:left="914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96" w:lineRule="exact"/>
        <w:rPr>
          <w:sz w:val="24"/>
          <w:szCs w:val="24"/>
          <w:color w:val="auto"/>
        </w:rPr>
      </w:pPr>
    </w:p>
    <w:p>
      <w:pPr>
        <w:ind w:left="1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58"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*ADDITIONAL SUBSIDIARY GUARANTOR REGISTRANTS</w:t>
      </w:r>
    </w:p>
    <w:p>
      <w:pPr>
        <w:spacing w:after="0" w:line="99" w:lineRule="exact"/>
        <w:rPr>
          <w:sz w:val="24"/>
          <w:szCs w:val="24"/>
          <w:color w:val="auto"/>
        </w:rPr>
      </w:pPr>
    </w:p>
    <w:tbl>
      <w:tblPr>
        <w:tblLayout w:type="fixed"/>
        <w:tblInd w:w="1440" w:type="dxa"/>
        <w:tblCellMar>
          <w:top w:w="0" w:type="dxa"/>
          <w:left w:w="0" w:type="dxa"/>
          <w:bottom w:w="0" w:type="dxa"/>
          <w:right w:w="0" w:type="dxa"/>
        </w:tblCellMar>
      </w:tblPr>
      <w:tr>
        <w:trPr>
          <w:trHeight w:val="149"/>
        </w:trPr>
        <w:tc>
          <w:tcPr>
            <w:tcW w:w="34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6"/>
              </w:rPr>
              <w:t>Exact Name of Additional Registrant as Specified in its Charter</w:t>
            </w:r>
          </w:p>
        </w:tc>
        <w:tc>
          <w:tcPr>
            <w:tcW w:w="2140" w:type="dxa"/>
            <w:vAlign w:val="bottom"/>
          </w:tcPr>
          <w:p>
            <w:pPr>
              <w:spacing w:after="0"/>
              <w:rPr>
                <w:sz w:val="12"/>
                <w:szCs w:val="12"/>
                <w:color w:val="auto"/>
              </w:rPr>
            </w:pPr>
          </w:p>
        </w:tc>
        <w:tc>
          <w:tcPr>
            <w:tcW w:w="182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w w:val="95"/>
              </w:rPr>
              <w:t>State of Incorporation</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IRS Employee</w:t>
            </w:r>
          </w:p>
        </w:tc>
        <w:tc>
          <w:tcPr>
            <w:tcW w:w="0" w:type="dxa"/>
            <w:vAlign w:val="bottom"/>
          </w:tcPr>
          <w:p>
            <w:pPr>
              <w:spacing w:after="0"/>
              <w:rPr>
                <w:sz w:val="1"/>
                <w:szCs w:val="1"/>
                <w:color w:val="auto"/>
              </w:rPr>
            </w:pPr>
          </w:p>
        </w:tc>
      </w:tr>
      <w:tr>
        <w:trPr>
          <w:trHeight w:val="162"/>
        </w:trPr>
        <w:tc>
          <w:tcPr>
            <w:tcW w:w="3420" w:type="dxa"/>
            <w:vAlign w:val="bottom"/>
            <w:tcBorders>
              <w:bottom w:val="single" w:sz="8" w:color="auto"/>
            </w:tcBorders>
            <w:vMerge w:val="continue"/>
          </w:tcPr>
          <w:p>
            <w:pPr>
              <w:spacing w:after="0"/>
              <w:rPr>
                <w:sz w:val="14"/>
                <w:szCs w:val="14"/>
                <w:color w:val="auto"/>
              </w:rPr>
            </w:pPr>
          </w:p>
        </w:tc>
        <w:tc>
          <w:tcPr>
            <w:tcW w:w="2140" w:type="dxa"/>
            <w:vAlign w:val="bottom"/>
          </w:tcPr>
          <w:p>
            <w:pPr>
              <w:spacing w:after="0"/>
              <w:rPr>
                <w:sz w:val="14"/>
                <w:szCs w:val="14"/>
                <w:color w:val="auto"/>
              </w:rPr>
            </w:pPr>
          </w:p>
        </w:tc>
        <w:tc>
          <w:tcPr>
            <w:tcW w:w="1820" w:type="dxa"/>
            <w:vAlign w:val="bottom"/>
            <w:gridSpan w:val="2"/>
          </w:tcPr>
          <w:p>
            <w:pPr>
              <w:jc w:val="right"/>
              <w:ind w:right="780"/>
              <w:spacing w:after="0" w:line="142" w:lineRule="exact"/>
              <w:rPr>
                <w:sz w:val="20"/>
                <w:szCs w:val="20"/>
                <w:color w:val="auto"/>
              </w:rPr>
            </w:pPr>
            <w:r>
              <w:rPr>
                <w:rFonts w:ascii="Times New Roman" w:cs="Times New Roman" w:eastAsia="Times New Roman" w:hAnsi="Times New Roman"/>
                <w:sz w:val="13"/>
                <w:szCs w:val="13"/>
                <w:b w:val="1"/>
                <w:bCs w:val="1"/>
                <w:color w:val="auto"/>
              </w:rPr>
              <w:t>or Organization</w:t>
            </w:r>
          </w:p>
        </w:tc>
        <w:tc>
          <w:tcPr>
            <w:tcW w:w="98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8"/>
              </w:rPr>
              <w:t>Identification No.</w:t>
            </w:r>
          </w:p>
        </w:tc>
        <w:tc>
          <w:tcPr>
            <w:tcW w:w="0" w:type="dxa"/>
            <w:vAlign w:val="bottom"/>
          </w:tcPr>
          <w:p>
            <w:pPr>
              <w:spacing w:after="0"/>
              <w:rPr>
                <w:sz w:val="1"/>
                <w:szCs w:val="1"/>
                <w:color w:val="auto"/>
              </w:rPr>
            </w:pPr>
          </w:p>
        </w:tc>
      </w:tr>
      <w:tr>
        <w:trPr>
          <w:trHeight w:val="136"/>
        </w:trPr>
        <w:tc>
          <w:tcPr>
            <w:tcW w:w="3420" w:type="dxa"/>
            <w:vAlign w:val="bottom"/>
            <w:tcBorders>
              <w:top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Targa Energy GP LLC</w:t>
            </w:r>
          </w:p>
        </w:tc>
        <w:tc>
          <w:tcPr>
            <w:tcW w:w="214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Delaware</w:t>
            </w:r>
          </w:p>
        </w:tc>
        <w:tc>
          <w:tcPr>
            <w:tcW w:w="62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ind w:left="260"/>
              <w:spacing w:after="0" w:line="136" w:lineRule="exact"/>
              <w:rPr>
                <w:sz w:val="20"/>
                <w:szCs w:val="20"/>
                <w:color w:val="auto"/>
              </w:rPr>
            </w:pPr>
            <w:r>
              <w:rPr>
                <w:rFonts w:ascii="Times New Roman" w:cs="Times New Roman" w:eastAsia="Times New Roman" w:hAnsi="Times New Roman"/>
                <w:sz w:val="14"/>
                <w:szCs w:val="14"/>
                <w:color w:val="auto"/>
                <w:w w:val="97"/>
              </w:rPr>
              <w:t>20-3953748</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Targa Energy LP</w:t>
            </w:r>
          </w:p>
        </w:tc>
        <w:tc>
          <w:tcPr>
            <w:tcW w:w="2140" w:type="dxa"/>
            <w:vAlign w:val="bottom"/>
          </w:tcPr>
          <w:p>
            <w:pPr>
              <w:spacing w:after="0"/>
              <w:rPr>
                <w:sz w:val="12"/>
                <w:szCs w:val="12"/>
                <w:color w:val="auto"/>
              </w:rPr>
            </w:pPr>
          </w:p>
        </w:tc>
        <w:tc>
          <w:tcPr>
            <w:tcW w:w="1820" w:type="dxa"/>
            <w:vAlign w:val="bottom"/>
            <w:gridSpan w:val="2"/>
          </w:tcPr>
          <w:p>
            <w:pPr>
              <w:jc w:val="right"/>
              <w:ind w:right="6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98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43-2094238</w:t>
            </w: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Targa GP Inc.</w:t>
            </w:r>
          </w:p>
        </w:tc>
        <w:tc>
          <w:tcPr>
            <w:tcW w:w="214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6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98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20-4036018</w:t>
            </w:r>
          </w:p>
        </w:tc>
        <w:tc>
          <w:tcPr>
            <w:tcW w:w="0" w:type="dxa"/>
            <w:vAlign w:val="bottom"/>
          </w:tcPr>
          <w:p>
            <w:pPr>
              <w:spacing w:after="0"/>
              <w:rPr>
                <w:sz w:val="1"/>
                <w:szCs w:val="1"/>
                <w:color w:val="auto"/>
              </w:rPr>
            </w:pPr>
          </w:p>
        </w:tc>
      </w:tr>
      <w:tr>
        <w:trPr>
          <w:trHeight w:val="148"/>
        </w:trPr>
        <w:tc>
          <w:tcPr>
            <w:tcW w:w="3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Targa LP Inc.</w:t>
            </w:r>
          </w:p>
        </w:tc>
        <w:tc>
          <w:tcPr>
            <w:tcW w:w="2140" w:type="dxa"/>
            <w:vAlign w:val="bottom"/>
          </w:tcPr>
          <w:p>
            <w:pPr>
              <w:spacing w:after="0"/>
              <w:rPr>
                <w:sz w:val="12"/>
                <w:szCs w:val="12"/>
                <w:color w:val="auto"/>
              </w:rPr>
            </w:pPr>
          </w:p>
        </w:tc>
        <w:tc>
          <w:tcPr>
            <w:tcW w:w="1820" w:type="dxa"/>
            <w:vAlign w:val="bottom"/>
            <w:gridSpan w:val="2"/>
          </w:tcPr>
          <w:p>
            <w:pPr>
              <w:jc w:val="right"/>
              <w:ind w:right="6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98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20-4036097</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Targa Resources Finance Corporation</w:t>
            </w:r>
          </w:p>
        </w:tc>
        <w:tc>
          <w:tcPr>
            <w:tcW w:w="214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6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98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20-3673840</w:t>
            </w:r>
          </w:p>
        </w:tc>
        <w:tc>
          <w:tcPr>
            <w:tcW w:w="0" w:type="dxa"/>
            <w:vAlign w:val="bottom"/>
          </w:tcPr>
          <w:p>
            <w:pPr>
              <w:spacing w:after="0"/>
              <w:rPr>
                <w:sz w:val="1"/>
                <w:szCs w:val="1"/>
                <w:color w:val="auto"/>
              </w:rPr>
            </w:pPr>
          </w:p>
        </w:tc>
      </w:tr>
      <w:tr>
        <w:trPr>
          <w:trHeight w:val="148"/>
        </w:trPr>
        <w:tc>
          <w:tcPr>
            <w:tcW w:w="3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Targa Resources GP LLC</w:t>
            </w:r>
          </w:p>
        </w:tc>
        <w:tc>
          <w:tcPr>
            <w:tcW w:w="2140" w:type="dxa"/>
            <w:vAlign w:val="bottom"/>
          </w:tcPr>
          <w:p>
            <w:pPr>
              <w:spacing w:after="0"/>
              <w:rPr>
                <w:sz w:val="12"/>
                <w:szCs w:val="12"/>
                <w:color w:val="auto"/>
              </w:rPr>
            </w:pPr>
          </w:p>
        </w:tc>
        <w:tc>
          <w:tcPr>
            <w:tcW w:w="1820" w:type="dxa"/>
            <w:vAlign w:val="bottom"/>
            <w:gridSpan w:val="2"/>
          </w:tcPr>
          <w:p>
            <w:pPr>
              <w:jc w:val="right"/>
              <w:ind w:right="6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98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65-1295429</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Targa Resources LLC</w:t>
            </w:r>
          </w:p>
        </w:tc>
        <w:tc>
          <w:tcPr>
            <w:tcW w:w="214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6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98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14-1904332</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Targa Resources Partners LP</w:t>
            </w:r>
          </w:p>
        </w:tc>
        <w:tc>
          <w:tcPr>
            <w:tcW w:w="2140" w:type="dxa"/>
            <w:vAlign w:val="bottom"/>
          </w:tcPr>
          <w:p>
            <w:pPr>
              <w:spacing w:after="0"/>
              <w:rPr>
                <w:sz w:val="16"/>
                <w:szCs w:val="16"/>
                <w:color w:val="auto"/>
              </w:rPr>
            </w:pPr>
          </w:p>
        </w:tc>
        <w:tc>
          <w:tcPr>
            <w:tcW w:w="18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Delaware</w:t>
            </w: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65-1295427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ectPr>
          <w:pgSz w:w="11900" w:h="16838" w:orient="portrait"/>
          <w:cols w:equalWidth="0" w:num="2">
            <w:col w:w="10780" w:space="220"/>
            <w:col w:w="120"/>
          </w:cols>
          <w:pgMar w:left="320" w:top="225" w:right="459" w:bottom="853"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173990</wp:posOffset>
            </wp:positionV>
            <wp:extent cx="2031365" cy="565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3136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Targa Resources Corp.</w:t>
      </w: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may offer and sell the securities listed above from time to time in one or more offerings. Any debt securities we offer pursuant to this prospectus may be fully and unconditionally guaranteed by certain of our subsidiaries.</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may be offered. Each time securities are offered, we will provide a prospectus supplement and attach it to this prospectus. The prospectus supplement will contain more specific information about the offering and the terms of the securities being offered. A prospectus supplement may also add, update or change information contained in this prospectus. This prospectus may not be used to offer or sell securities without a prospectus supplement describing the method and terms of the offering.</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may offer and sell these securities directly or through agents, underwriters or dealers, or through a combination of these methods, on a continuous or delayed basis. See “Plan of Distribution.” The prospectus supplement will list any agents, underwriters or dealers that may be involved and the compensation they will receive. The prospectus supplement will also show you the total amount of money that we will receive from selling the securities being offered, after the expenses of the offering. You should carefully read this prospectus and any accompanying prospectus supplement, together with the documents we incorporate by reference, before you invest in any of our securities.</w:t>
      </w:r>
    </w:p>
    <w:p>
      <w:pPr>
        <w:spacing w:after="0" w:line="170" w:lineRule="exact"/>
        <w:rPr>
          <w:sz w:val="20"/>
          <w:szCs w:val="20"/>
          <w:color w:val="auto"/>
        </w:rPr>
      </w:pPr>
    </w:p>
    <w:p>
      <w:pPr>
        <w:jc w:val="both"/>
        <w:ind w:left="120" w:right="40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any of our securities involves risks. Please read carefully the information included and incorporated by reference in this prospectus and in any applicable prospectus supplement for a discussion of the factors you should consider before deciding to purchase our securities.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6 of this prospectus.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(the “NYSE”) under the symbol “TRGP.”</w:t>
      </w:r>
    </w:p>
    <w:p>
      <w:pPr>
        <w:spacing w:after="0" w:line="221"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This prospectus is dated March 21, 2025.</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60" w:type="dxa"/>
            <w:vAlign w:val="bottom"/>
            <w:gridSpan w:val="14"/>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TARGA RESOURCES CORP.</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7"/>
              </w:rPr>
              <w:t>CAUTIONARY STATEMENT ABOUT FORWARD-LOOKING STATEMENTS</w:t>
            </w:r>
          </w:p>
        </w:tc>
        <w:tc>
          <w:tcPr>
            <w:tcW w:w="476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3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906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908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64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3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DEPOSITARY SHARES</w:t>
            </w:r>
          </w:p>
        </w:tc>
        <w:tc>
          <w:tcPr>
            <w:tcW w:w="734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18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862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You should rely only on the information contained or incorporated by reference in this prospectus or any prospectus supplement. We have not authorized anyone to provide you with additional or different information, and we take no responsibility for, and can provide no assurance as to the reliability of, any other information that others may give you. If anyone provides you with different or inconsistent information, you should not rely on it.</w:t>
      </w:r>
    </w:p>
    <w:p>
      <w:pPr>
        <w:spacing w:after="0" w:line="154"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b w:val="1"/>
          <w:bCs w:val="1"/>
          <w:color w:val="auto"/>
        </w:rPr>
        <w:t>This prospectus is not an offer to sell or the solicitation of an offer to buy any securities other than the securities to which they relate and is not an offer to sell or the solicitation of an offer to buy securities in any jurisdiction to any person to whom it is unlawful to make an offer or solicitation in that jurisdiction. You should not assume that the information contained in this prospectus or any prospectus supplement is accurate as of any date other than the date on the front cover of those documents. You should not assume that the information contained in the documents incorporated by reference in this prospectus or any prospectus supplement is accurate as of any date other than the respective dates of those documents. Our business, financial condition, results of operations and prospects may have changed since those dates.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U.S. Securities and Exchange Commission, or “SEC,” using a “shelf” registration process. Under this shelf registration process, we may, from time to time, offer and sell any combination of the securities described in this prospectus in one or more offerings. This prospectus provides you with a general description of the securities we may offer. Each time we sell securities, we will provide you with this prospectus and a prospectus supplement that will contain specific information about the terms of the offering and the offered securities. That prospectus supplement may also add, update or change information contained in this prospectus. Any statement that we make in this prospectus will be modified or superseded by any inconsistent statement made by us in a prospectus supplement.</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Additional information, including our consolidated financial statements and the notes thereto, is incorporated in this prospectus by reference to our reports filed with the SEC. Please read “Where You Can Find More Information” below. You are urged to read this prospectus carefully, including “Risk Factors,” and the documents incorporated by reference in their entirety before investing in our securities.</w:t>
      </w:r>
    </w:p>
    <w:p>
      <w:pPr>
        <w:spacing w:after="0" w:line="176"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or unless otherwise noted, all references in this prospectus or any accompanying prospectus supplement to “TRC” and to the “Company,” “Targa,” “we” or “us” are to Targa Resources Corp. and its subsidiaries.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TARGA RESOURCES CORP.</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Targa Resources Corp. (NYSE: TRGP) is a publicly traded Delaware corporation formed in October 2005. Targa is a leading provider of midstream services and is one of the largest independent infrastructure companies in North America. We own, operate, acquire, and develop a diversified portfolio of complementary domestic infrastructure assets. The Company is primarily engaged in the business of: (i) gathering, compressing, treating, processing, transporting and purchasing and selling natural gas; (ii) transporting, storing, fractionating, treating and purchasing and selling natural gas liquids (“NGL(s)”) and NGL products, including services to liquified petroleum gas exporters; and (iii) gathering, storing, terminaling and purchasing and selling crude oil. Our principal executive offices are located at 811 Louisiana St., Suite 2100, Houston, Texas 77002, and our telephone number at that location is (713) 584-1000. Our common stock is listed on the NYSE under the symbol “TRGP.”</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We file periodic reports, current reports, proxy statements and other information with the SEC. Our SEC filings are available on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We also make available free of charge on our website, at</w:t>
      </w:r>
      <w:r>
        <w:rPr>
          <w:rFonts w:ascii="Times New Roman" w:cs="Times New Roman" w:eastAsia="Times New Roman" w:hAnsi="Times New Roman"/>
          <w:sz w:val="18"/>
          <w:szCs w:val="18"/>
          <w:i w:val="1"/>
          <w:iCs w:val="1"/>
          <w:color w:val="auto"/>
        </w:rPr>
        <w:t xml:space="preserve"> http://www.targaresources.com </w:t>
      </w:r>
      <w:r>
        <w:rPr>
          <w:rFonts w:ascii="Times New Roman" w:cs="Times New Roman" w:eastAsia="Times New Roman" w:hAnsi="Times New Roman"/>
          <w:sz w:val="18"/>
          <w:szCs w:val="18"/>
          <w:color w:val="auto"/>
        </w:rPr>
        <w:t>all materials that we file electronically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 including our annual report on Form 10-K, quarterly reports on Form 10-Q, current reports on Form 8-K, Section 16 reports and amendments to these reports as soon as reasonably practicable after such materials are electronically filed with, or furnished to, the SEC. You can also obtain information about us at the office of the NYSE, 20 Broad Street, New York, New York 10005.</w:t>
      </w:r>
    </w:p>
    <w:p>
      <w:pPr>
        <w:spacing w:after="0" w:line="183"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and the information we file later with the SEC will automatically supersede this information. You should not assume that (i) the information incorporated by reference in this prospectus is accurate as of any date other than the respective date of the documents incorporated by reference or (ii) the information contained in this prospectus is accurate as of any date other that the date on the front page of this prospectus.</w:t>
      </w:r>
    </w:p>
    <w:p>
      <w:pPr>
        <w:spacing w:after="0" w:line="187"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We incorporate by reference in this prospectus the documents listed below and any future filings made by Targa Resources Corp. with the SEC under Section 13(a), 13(c), 14 or 15(d) of the Securities Exchange Act of 1934, as amended (the “Exchange Act”) (excluding any information furnished and not filed pursuant to 2.02 or 7.01 on any current report on Form 8-K), including all such documents we may file with the SEC from the date of this prospectus until the termination of each offering under this prospectus:</w:t>
      </w:r>
    </w:p>
    <w:p>
      <w:pPr>
        <w:spacing w:after="0" w:line="85"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25">
        <w:r>
          <w:rPr>
            <w:rFonts w:ascii="Times New Roman" w:cs="Times New Roman" w:eastAsia="Times New Roman" w:hAnsi="Times New Roman"/>
            <w:sz w:val="18"/>
            <w:szCs w:val="18"/>
            <w:u w:val="single" w:color="auto"/>
            <w:color w:val="0000EE"/>
          </w:rPr>
          <w:t>February 20, 2025</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February 25,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7">
        <w:r>
          <w:rPr>
            <w:rFonts w:ascii="Times New Roman" w:cs="Times New Roman" w:eastAsia="Times New Roman" w:hAnsi="Times New Roman"/>
            <w:sz w:val="18"/>
            <w:szCs w:val="18"/>
            <w:u w:val="single" w:color="auto"/>
            <w:color w:val="0000EE"/>
          </w:rPr>
          <w:t>February 27, 2025</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included in our </w:t>
      </w:r>
      <w:hyperlink r:id="rId2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001-34991), filed on December 2, 2010 and </w:t>
      </w:r>
      <w:hyperlink r:id="rId29">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2024, including any amendment or report filed for the purpose of updating, changing or otherwise modifying such description.</w:t>
      </w:r>
    </w:p>
    <w:p>
      <w:pPr>
        <w:spacing w:after="0" w:line="176" w:lineRule="exact"/>
        <w:rPr>
          <w:rFonts w:ascii="Times New Roman" w:cs="Times New Roman" w:eastAsia="Times New Roman" w:hAnsi="Times New Roman"/>
          <w:sz w:val="18"/>
          <w:szCs w:val="18"/>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You can obtain copies of any of these documents, and any exhibit specifically incorporated by reference in those documents, without charge upon written or oral request by requesting them in writing or by telephone at:</w:t>
      </w:r>
    </w:p>
    <w:p>
      <w:pPr>
        <w:spacing w:after="0" w:line="162"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Targa Resources Corp.</w:t>
      </w:r>
    </w:p>
    <w:p>
      <w:pPr>
        <w:spacing w:after="0" w:line="2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811 Louisiana St., Suite 2100</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Telephone: (713) 584-1000</w:t>
      </w:r>
    </w:p>
    <w:p>
      <w:pPr>
        <w:spacing w:after="0" w:line="205" w:lineRule="exact"/>
        <w:rPr>
          <w:rFonts w:ascii="Times New Roman" w:cs="Times New Roman" w:eastAsia="Times New Roman" w:hAnsi="Times New Roman"/>
          <w:sz w:val="18"/>
          <w:szCs w:val="18"/>
          <w:color w:val="auto"/>
        </w:rPr>
      </w:pPr>
    </w:p>
    <w:p>
      <w:pPr>
        <w:ind w:left="120" w:right="120"/>
        <w:spacing w:after="0" w:line="267" w:lineRule="auto"/>
        <w:rPr>
          <w:sz w:val="20"/>
          <w:szCs w:val="20"/>
          <w:color w:val="auto"/>
        </w:rPr>
      </w:pPr>
      <w:r>
        <w:rPr>
          <w:rFonts w:ascii="Times New Roman" w:cs="Times New Roman" w:eastAsia="Times New Roman" w:hAnsi="Times New Roman"/>
          <w:sz w:val="18"/>
          <w:szCs w:val="18"/>
          <w:color w:val="auto"/>
        </w:rPr>
        <w:t xml:space="preserve">We also maintain a website at </w:t>
      </w:r>
      <w:r>
        <w:rPr>
          <w:rFonts w:ascii="Times New Roman" w:cs="Times New Roman" w:eastAsia="Times New Roman" w:hAnsi="Times New Roman"/>
          <w:sz w:val="18"/>
          <w:szCs w:val="18"/>
          <w:i w:val="1"/>
          <w:iCs w:val="1"/>
          <w:color w:val="auto"/>
        </w:rPr>
        <w:t>http://www.targaresources.com</w:t>
      </w:r>
      <w:r>
        <w:rPr>
          <w:rFonts w:ascii="Times New Roman" w:cs="Times New Roman" w:eastAsia="Times New Roman" w:hAnsi="Times New Roman"/>
          <w:sz w:val="18"/>
          <w:szCs w:val="18"/>
          <w:color w:val="auto"/>
        </w:rPr>
        <w:t>. However, the information on our website is not part of this prospectus and is not incorporated by reference into this prospectus, and you should rely only on information contained or incorporated by reference in this prospectus when making a decision as to whether or not to invest in our securities.</w:t>
      </w:r>
    </w:p>
    <w:p>
      <w:pPr>
        <w:spacing w:after="0" w:line="108"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STATEMENT ABOUT FORWARD-LOOKING STATEMENTS</w:t>
      </w:r>
    </w:p>
    <w:p>
      <w:pPr>
        <w:spacing w:after="0" w:line="22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Some of the information included in this prospectus contains our reports, filings and other public announcements, which may from time to time contain statements that do not directly or exclusively relate to historical facts. Such statements are “forward-looking statements.” You can typically identify forward-looking statements within the meaning of Section 27A of the Securities Act of 1933, as amended (the “Securities Act”), and Section 21E of the Exchange Act by the use of forward-looking statements, such as “may,” “could,” “project,” “believe,” “anticipate,” “expect,” “estimate,” “potential,” “plan,” “forecast” and other similar words.</w:t>
      </w:r>
    </w:p>
    <w:p>
      <w:pPr>
        <w:spacing w:after="0" w:line="183"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All statements that are not statements of historical facts, including statements regarding our future financial position, business strategy, budgets, projected costs and plans and objectives of management for future operations, are forward-looking statements.</w:t>
      </w:r>
    </w:p>
    <w:p>
      <w:pPr>
        <w:spacing w:after="0" w:line="162"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These forward-looking statements reflect our intentions, plans, expectations, assumptions and beliefs about future events and are subject to risks, uncertainties and other factors, many of which are outside our control. Important factors that could cause actual results to differ materially from the expectations expressed or implied in the forward-looking statements include known and unknown risks. Known risks and uncertainties include, but are not limited to, the risks set forth in “Risk Factors,” the risks set forth in “Item 1A. Risk Factors” in our most recent Annual Report on Form 10-K, any subsequently filed Quarterly Reports on Form 10-Q and any subsequently filed Current Reports on Form 8-K (other than, in each case, information furnished rather than filed), all of which are incorporated by reference in this prospectus, any risk factors included in any applicable prospectus supplement, as well as the following risks and uncertainties:</w:t>
      </w:r>
    </w:p>
    <w:p>
      <w:pPr>
        <w:spacing w:after="0" w:line="94" w:lineRule="exact"/>
        <w:rPr>
          <w:sz w:val="20"/>
          <w:szCs w:val="20"/>
          <w:color w:val="auto"/>
        </w:rPr>
      </w:pPr>
    </w:p>
    <w:p>
      <w:pPr>
        <w:ind w:left="1080" w:right="4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success of crude oil and natural gas drilling around our assets, our success in connecting natural gas supplies to our gathering and processing systems, oil supplies to our gathering systems and natural gas liquid supplies to our logistics and transportation facilities and our success in connecting our facilities to transportation services and markets;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other countries with significant hydrocarbon production;</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changes in natural gas, natural gas liquids, crude oil and other commodity prices, interest rates and demand for our services;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through internal growth capital projects or acquisitions and the successful integration and future performance of such assets;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business development efforts;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obtain and maintain necessary licenses, permits and other approvals;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changes, including the impact of consolidation, changes in competition and the addition of alternative forms of energy for oil, gas and NGLs;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downside commodity price volatility from a variety of potential factors that can result in lower activity in our areas of operation;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risk management activities, including the use of derivative instruments to hedge commodity price risks;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and business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significant public health crises and their impact on demand for oil, gas and NGLs;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and other natural phenomena, and related impacts;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which will depend on general market conditions, including the impact of interest rates, associated Federal Reserve policies, the economy, our credit ratings and leverage levels, and demand for our common equity, senior notes and commercial paper;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collateral required to be posted from time to time in our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creditworthiness of counterparties to various transactions with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disruptions in the bank and capital markets, and our ability to obtain capital or financing on favorable terms, or at all;</w:t>
      </w:r>
    </w:p>
    <w:p>
      <w:pPr>
        <w:spacing w:after="0" w:line="130"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particularly with regard to taxes, tariffs and international trade, safety and the protection of the environment;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described elsewhere in this prospectus and in the documents incorporated by reference herein.</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You should read these forward-looking statements carefully because they discuss our expectations about our future performance, our future operating results or our future financial condition, or state other “forward-looking” information. Before you invest, you should be aware that the occurrence of any of the events described in “Risk Factors” or “Item 1A. Risk Factors” in our most recent Annual Report on Form 10-K, any subsequently filed Quarterly Reports on Form 10-Q, any subsequently filed Current Reports on Form 8-K (other than, in each case, information furnished rather than filed), all of which are incorporated by reference herein, and any risk factors included in any applicable prospectus supplement could substantially harm our business, results of operations and financial condition. In light of these risks, uncertainties and assumptions, the events described in the forward-looking statements might not occur or might occur to a different extent or at a different time than we have described.</w:t>
      </w:r>
    </w:p>
    <w:p>
      <w:pPr>
        <w:spacing w:after="0" w:line="189" w:lineRule="exact"/>
        <w:rPr>
          <w:sz w:val="20"/>
          <w:szCs w:val="20"/>
          <w:color w:val="auto"/>
        </w:rPr>
      </w:pPr>
    </w:p>
    <w:p>
      <w:pPr>
        <w:ind w:left="120" w:right="280"/>
        <w:spacing w:after="0" w:line="312" w:lineRule="auto"/>
        <w:rPr>
          <w:sz w:val="20"/>
          <w:szCs w:val="20"/>
          <w:color w:val="auto"/>
        </w:rPr>
      </w:pPr>
      <w:r>
        <w:rPr>
          <w:rFonts w:ascii="Times New Roman" w:cs="Times New Roman" w:eastAsia="Times New Roman" w:hAnsi="Times New Roman"/>
          <w:sz w:val="17"/>
          <w:szCs w:val="17"/>
          <w:color w:val="auto"/>
        </w:rPr>
        <w:t>Should one or more of the risks or uncertainties described in this prospectus or the documents incorporated by reference herein occur, or should underlying assumptions prove incorrect, our actual results and plans could differ materially from those expressed in any forward-looking statements.</w:t>
      </w:r>
    </w:p>
    <w:p>
      <w:pPr>
        <w:spacing w:after="0" w:line="140"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Forward-looking statements contained in this prospectus and all subsequent written and oral forward-looking statements attributable to us or persons acting on our behalf are expressly qualified in their entirety by this cautionary statement.</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Except as otherwise required by applicable law, we disclaim any duty to update any forward-looking statements, all of which are expressly qualified by the statements in this section, to reflect events or circumstances after the date of this 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significant degree of risk. Before you invest in our securities, you should carefully consider those risk factors included in our most recent Annual Report on Form 10-K, any subsequently filed Quarterly Reports on Form 10-Q and any subsequently filed Current Reports on Form 8-K (other than, in each case, information furnished rather than filed), all of which are incorporated herein by reference, and those risk factors that may be included in any applicable prospectus supplement, together with all of the other information included in this prospectus, any prospectus supplement and the documents we incorporate by reference, in evaluating an investment in our securities. If any of the risks discussed in the foregoing documents were to occur, our business, financial condition, results of operations and cash flows could be materially adversely affected. Additional risks not presently known to us or that we currently believe are immaterial may also significantly impair our business operations and financial condition. Please read “Cautionary Statement About Forward-Looking Statements” for additional information.</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60"/>
          </w:cols>
          <w:pgMar w:left="320" w:top="455"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Except as may otherwise be stated in any applicable prospectus supplement, we intend to use the net proceeds we receive from any sales of securities by us under this prospectus and any prospectus supplement for general corporate purposes, including to repay indebtedness, to repurchase and/or redeem securities, to acquire businesses and/or assets, for capital expenditures, for additions to working capital and for investments in our subsidiaries.</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Any specific allocation of the net proceeds of an offering of securities to a specific purpose will be determined at the time of the offering and will be described in the applicable prospectus supplement.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455"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Dividend Policy</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intend to continue to pay a quarterly dividend to our common stockholders; however, the payment of future dividends is dependent upon our financial condition, results of operations, cash flows, the level of our capital expenditures, future business prospects and any other matters that our board of directors, in consultation with management, deems relevant. Covenants contained in our debt agreements could limit the payment of dividends. For a discussion of restrictions on our and our subsidiaries’ ability to pay dividends or make distributions, please see “Note 8—Debt Obligations” in our Consolidated Financial Statements in our Annual Report on Form 10-K for the year ended December 31, 2024, which has been incorporated herein by reference.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prospectus supplement. We will also indicate in the applicable prospectus supplement to what extent the general terms and provisions described in this prospectus apply to a particular series of debt securities.</w:t>
      </w:r>
    </w:p>
    <w:p>
      <w:pPr>
        <w:spacing w:after="0" w:line="180"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Throughout this Description of Debt Securities, when we use the terms “Targa,” “we,” “us,” “our” or the “Company,” we are referring solely to Targa Resources Corp. and not to its subsidiaries.</w:t>
      </w:r>
    </w:p>
    <w:p>
      <w:pPr>
        <w:spacing w:after="0" w:line="162"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prospectus supplement, the debt securities will be our direct, unsecured obligations and may be issued in one or more series.</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debt securities will be issued under an indenture among us, as issuer, the Subsidiary Guarantors (as defined therein) and U.S. Bank Trust Company, National Association, as trustee, dated April 6, 2022 (the “indenture”). We have summarized select portions of the indenture below. The summary is not complete. The indenture has been filed as an exhibit to the registration statement of which this prospectus is a part and you should read the indenture for provisions that may be important to you. Please see “—Glossary” for a description of certain terms described in the summary below. Capitalized terms used and not defined herein have the meanings specified in the indenture.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or a committee thereof, and set forth or determined in the manner provided in a resolution of our board of directors, or a committee thereof, in an officer’s certificate or by a supplemental indenture. The particular terms of each series of debt securities will be described in a prospectus supplement relating to such series (including any pricing supplement or term sheet).</w:t>
      </w:r>
    </w:p>
    <w:p>
      <w:pPr>
        <w:spacing w:after="0" w:line="180"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the applicable prospectus supplement (including any pricing supplement or term sheet) relating to any series of debt securities being offered, the aggregate principal amount and the following terms of the debt securities, if applicable:</w:t>
      </w:r>
    </w:p>
    <w:p>
      <w:pPr>
        <w:spacing w:after="0" w:line="81"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6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55"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a foreign currency unit, or if the principal of and any premium and interest on any series of debt securities is payable in a foreign currency or a foreign currency unit, we will provide you with information on the restrictions, elections, general tax considerations, specific terms and other information with respect to that issue of debt securities and such foreign currency or foreign currency unit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Subsidiary Guarantees</w:t>
      </w:r>
    </w:p>
    <w:p>
      <w:pPr>
        <w:spacing w:after="0" w:line="121" w:lineRule="exact"/>
        <w:rPr>
          <w:sz w:val="20"/>
          <w:szCs w:val="20"/>
          <w:color w:val="auto"/>
        </w:rPr>
      </w:pPr>
    </w:p>
    <w:p>
      <w:pPr>
        <w:ind w:left="120" w:right="120"/>
        <w:spacing w:after="0" w:line="274" w:lineRule="auto"/>
        <w:rPr>
          <w:sz w:val="20"/>
          <w:szCs w:val="20"/>
          <w:color w:val="auto"/>
        </w:rPr>
      </w:pPr>
      <w:r>
        <w:rPr>
          <w:rFonts w:ascii="Times New Roman" w:cs="Times New Roman" w:eastAsia="Times New Roman" w:hAnsi="Times New Roman"/>
          <w:sz w:val="17"/>
          <w:szCs w:val="17"/>
          <w:color w:val="auto"/>
        </w:rPr>
        <w:t>Our payment obligations under any series of debt securities may be jointly and severally, fully and unconditionally guaranteed by one or more of our subsidiaries pursuant to the terms of the indenture (each a “Subsidiary Guarantor”), but such subsidiary will be a Subsidiary Guarantor only so long as such subsidiary is a guarantor with respect to the debt securities on the terms provided for in the indenture. The applicable prospectus supplement will describe the terms of any guarantee by the Subsidiary Guarantors. If a series of debt securities is guaranteed by the Subsidiary Guarantors and is designated as subordinate to our Senior Indebtedness, then the guarantees by the Subsidiary Guarantors will be subordinated to the Senior Indebtedness of the Subsidiary Guarantors to substantially the same extent as the series is subordinated to our Senior Indebtedness. Please read “—Subordination.”</w:t>
      </w:r>
    </w:p>
    <w:p>
      <w:pPr>
        <w:spacing w:after="0" w:line="17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guarantee of any Subsidiary Guarantor may be released under certain circumstances. If we exercise our legal or covenant defeasance option with respect to a series of debt securities as under the applicable provisions in the indenture, then the guarantees of such debt securities by all Subsidiary Guarantors will be released. Further, except as provided in an applicable prospectus supplement, a Subsidiary Guarantor will be unconditionally released and discharged from its guarantee of all debt securities:</w:t>
      </w:r>
    </w:p>
    <w:p>
      <w:pPr>
        <w:spacing w:after="0" w:line="85" w:lineRule="exact"/>
        <w:rPr>
          <w:sz w:val="20"/>
          <w:szCs w:val="20"/>
          <w:color w:val="auto"/>
        </w:rPr>
      </w:pPr>
    </w:p>
    <w:p>
      <w:pPr>
        <w:ind w:left="1080" w:right="2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any sale, exchange or transfer, whether by way of merger or otherwise, to any person that is not our affiliate, of all of our direct or indirect Capital Stock in the Subsidiary Guarantor;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the merger of the Subsidiary Guarantor into us or any other Subsidiary Guarantor or the liquidation and dissolution of the Subsidiary Guarantor; or</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delivery of a written notice by us to the trustee, upon the release of all guarantees or other obligations of the Subsidiary Guarantor with respect to the obligations of us under the Credit Agreement.</w:t>
      </w:r>
    </w:p>
    <w:p>
      <w:pPr>
        <w:spacing w:after="0" w:line="16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If at any time following any release of a Subsidiary Guarantor from its guarantee of such series of debt securities pursuant to the third bullet point in the preceding paragraph, the Subsidiary Guarantor again guarantees, becomes a co-obligor with respect to or otherwise provides direct credit support for any of our obligations or the obligations of any of our subsidiaries under the Credit Agreement, then we will cause the Subsidiary Guarantor to again guarantee such series of debt securities in accordance with the indenture.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in the applicable prospectus supplement, book-entry debt securities will not be issuable in certificated form.</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transfer tax or similar governmental charge payable in connection with a transfer or exchange.</w:t>
      </w:r>
    </w:p>
    <w:p>
      <w:pPr>
        <w:spacing w:after="0" w:line="176"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Except as set forth below, neither we nor any of our subsidiaries are restricted by the indenture from incurring any type of indebtedness or other obligation, from paying dividends or making distributions on our or its respective equity interests or from purchasing or redeeming our or its respective equity interests. The indenture does not require the maintenance of any financial ratios or specified levels of net worth or liquidity. In addition, the indenture does not contain any provisions that would require us to repurchase or redeem or otherwise modify the terms of the debt securities upon a change in control or other events involving us that could adversely affect our creditworthiness.</w:t>
      </w:r>
    </w:p>
    <w:p>
      <w:pPr>
        <w:spacing w:after="0" w:line="179" w:lineRule="exact"/>
        <w:rPr>
          <w:sz w:val="20"/>
          <w:szCs w:val="20"/>
          <w:color w:val="auto"/>
        </w:rPr>
      </w:pPr>
    </w:p>
    <w:p>
      <w:pPr>
        <w:ind w:left="120"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Limitations on Liens</w:t>
      </w:r>
      <w:r>
        <w:rPr>
          <w:rFonts w:ascii="Times New Roman" w:cs="Times New Roman" w:eastAsia="Times New Roman" w:hAnsi="Times New Roman"/>
          <w:sz w:val="18"/>
          <w:szCs w:val="18"/>
          <w:color w:val="auto"/>
        </w:rPr>
        <w:t>. We will not, nor will we permit any of our subsidiaries to, create, assume, incur or suffer to exist any mortgage, lien, 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pledge, charge or other encumbrance (“liens”) upon any Principal Property or upon any Capital Stock of any Restricted Subsidiary, whether owned on the date of the issuance of any debt securities or thereafter acquired, to secure any Indebtedness of us or any other person (other than the debt securities issued under the indenture), without in any such case making effective provisions whereby all of the outstanding debt securities are secured equally and ratably with, or prior to, such Indebtedness so long as such Indebtedness is so secured.</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Notwithstanding the foregoing, under the indenture, we may, and may permit any of our subsidiaries to, create, assume, incur, or suffer to exist without securing the debt securities (a) any Permitted Lien, (b) any lien upon any Principal Property or Capital Stock of a Restricted Subsidiary to secure our Indebtedness or the Indebtedness of any other person, provided that the aggregate principal amount of all Indebtedness then outstanding secured by such lien and all similar liens under this clause (b) does not exceed 15% of Consolidated Net Tangible Assets, determined at the time of incurrence of such Indebtedness or (c) with respect to any series of debt securities, any lien upon (i) any Principal Property that was not owned by us or any of our subsidiaries on the date of the supplemental indenture creating the debt securities or (ii) Capital Stock of any Restricted Subsidiary that owns no Principal Property and was owned by us or any of our subsidiaries on the date of the supplemental indenture creating the debt securities (an “Excluded Subsidiary”) that (A) is not, and is not required to be, a Subsidiary Guarantor and (B) has not granted any liens on any of its property securing Indebtedness of us or any of our subsidiaries other than such Excluded Subsidiary or any other Excluded Subsidiary.</w:t>
      </w:r>
    </w:p>
    <w:p>
      <w:pPr>
        <w:spacing w:after="0" w:line="184"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r>
        <w:rPr>
          <w:rFonts w:ascii="Times New Roman" w:cs="Times New Roman" w:eastAsia="Times New Roman" w:hAnsi="Times New Roman"/>
          <w:sz w:val="18"/>
          <w:szCs w:val="18"/>
          <w:color w:val="auto"/>
        </w:rPr>
        <w:t>. We shall not, in a transaction or series of transactions, consolidate with or merge into any Person or sell, lease,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convey, transfer or otherwise dispose of all or substantially all of our assets to any Person unless:</w:t>
      </w:r>
    </w:p>
    <w:p>
      <w:pPr>
        <w:spacing w:after="0" w:line="64" w:lineRule="exact"/>
        <w:rPr>
          <w:sz w:val="20"/>
          <w:szCs w:val="20"/>
          <w:color w:val="auto"/>
        </w:rPr>
      </w:pPr>
    </w:p>
    <w:p>
      <w:pPr>
        <w:ind w:left="540" w:right="20" w:hanging="424"/>
        <w:spacing w:after="0" w:line="261"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resulting from any such consolidation or merger or to which such assets have been sold, leased, conveyed, transferred or otherwise disposed of (the “successor”) is either us or expressly assumes by supplemental indenture the due and punctual payment of the principal of, premium (if any) and interest on all of the debt securities and the performance of our covenants and obligations under the indenture and the debt securities;</w:t>
      </w:r>
    </w:p>
    <w:p>
      <w:pPr>
        <w:spacing w:after="0" w:line="85"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is organized under the laws of the United States, any state thereof or the District of Columbia; and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or series of transactions, no default or Event of Default has occurred and is continuing.</w:t>
      </w:r>
    </w:p>
    <w:p>
      <w:pPr>
        <w:spacing w:after="0" w:line="22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successor will be substituted for us in the indenture with the same effect as if it had been an original party to the indenture. Thereafter, the successor may exercise our rights and powers under the indenture. If we convey or transfer all or substantially all of our assets, we will be released from all liabilities and obligations under the indenture and under the debt securities except that no such release will occur in the case of a lease of all or substantially all of our assets.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Reporting Covenant</w:t>
      </w:r>
      <w:r>
        <w:rPr>
          <w:rFonts w:ascii="Times New Roman" w:cs="Times New Roman" w:eastAsia="Times New Roman" w:hAnsi="Times New Roman"/>
          <w:sz w:val="18"/>
          <w:szCs w:val="18"/>
          <w:color w:val="auto"/>
        </w:rPr>
        <w:t>. If we are subject to the requirements of Section 13 or 15(d) of the Exchange Act, we shall file with the trustee, within 15 days after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file the same with the SEC, copies of the annual reports and the information, documents and other reports (or copies of such portions of any of the foregoing as the SEC may by rules and regulations prescribe) that we are required to file with the SEC pursuant to Section 13 or 15(d) of the Exchange Act. If the indenture is qualified under the Trust Indenture Act (“TIA”), but not otherwise, we and our Subsidiary Guarantors shall also comply with the provisions of TIA Section 314(a). If the issuer is not subject to the requirements of Section 13 or 15(d) of the Exchange Act, the issuer shall file with the trustee, within 15 days after it would have been required to file with the SEC, financial statements (and with respect to annual reports, an auditor’s report by a firm of established national reputation) and a Management’s Discussion and Analysis of Financial Condition and Results of Operations, both comparable to what it would have been required to file with the SEC had it been subject to the requirements of Section 13 or 15(d) of the Exchange Act. Any reports, information or documents filed with the SEC pursuant to its Electronic Data Gathering, Analysis and Retrieval (EDGAR) (or any successor) system shall be deemed filed with the trustee as required pursuant to this covenant.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Except as described above or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that could adversely affect holders of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22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such default continues for a period of 30 days (unless the entire amount of the payment is deposited by us with the trustee or with a paying agent prior to the expiration of the 30-day period);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 upon redemption, upon required repurchase or otherwise;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or if the series of debt securities is guaranteed by any Subsidiary Guarantor, by such Subsidiary Guarantor, in the indenture (other than a covenant or warranty that has been included in the indenture solely for the benefit of a series of debt securities other than that series), which default continues uncured for a period of 90 days after we receive written notice from the trustee or we and the trustee receive written notice from the holders of not less than 25% in principal amount of the outstanding debt securities of that series as provided in the indenture;</w:t>
      </w:r>
    </w:p>
    <w:p>
      <w:pPr>
        <w:spacing w:after="0" w:line="88"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us, or, if the series of debt securities is guaranteed by any Subsidiary Guarantor, of such Subsidiary Guarantor;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series of debt securities is guaranteed by any Subsidiary Guarantor: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subsidiary guarantees ceases to be in full force and effect, except as otherwise provided in the indenture;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hanging="331"/>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subsidiary guarantees is declared null and void in a judicial proceeding; or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Guarantor denies or disaffirms its obligations under the indenture or its guarantee;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5"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58"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of us,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applicable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9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that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080" w:right="1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 to:</w:t>
      </w:r>
    </w:p>
    <w:p>
      <w:pPr>
        <w:spacing w:after="0" w:line="67"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defect or inconsistency;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covenants in the indenture described above under “—Certain Covenants—Merger, Consolidation or Sale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securities in addition to or in place of certificated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debt securities of any series or secure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issuance of bearer debt securities (with or without coupons);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 any of the provisions of the indenture to permit or facilitate the defeasance and discharge of any series of debt securities; provided that the rights of the holders of the debt securities of such series or any other series are not adversely affected in any material respect;</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eliminate any provisions of the indenture that are effective only when there is no outstanding debt security of any series created prior to the execution of such amendment or supplemental indenture that is adversely affected by such change in or elimination of such provision;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covenants or events of default for the benefit of the holders of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any holder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issuance of and establish the form and terms and conditions of debt securities of any series as permitted by the indenture;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TIA.</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continuing default in the payment of the principal of, premium (if any)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premium, if any, payable upon the redemption of any debt security or waive the requirement that any debt security shall be redeemed;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coin or currency in which any debt security or any premium or interest with respect thereto is payable;</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to receive payment of principal of, premium, if any, and interest on such holder’s debt securities or to institute suit for the enforcement of the payment of such amounts; or</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w:t>
      </w:r>
    </w:p>
    <w:p>
      <w:pPr>
        <w:spacing w:after="0" w:line="176"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or the compliance of any Subsidiary Guarantor,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17"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Legal Defeasance</w:t>
      </w:r>
      <w:r>
        <w:rPr>
          <w:rFonts w:ascii="Times New Roman" w:cs="Times New Roman" w:eastAsia="Times New Roman" w:hAnsi="Times New Roman"/>
          <w:sz w:val="18"/>
          <w:szCs w:val="18"/>
          <w:color w:val="auto"/>
        </w:rPr>
        <w:t>. The indenture provides that, unless otherwise provided by the terms of the applicable series of debt securities, we may defease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released from any and all obligations in respect of the debt securities of any series (subject to certain exceptions). We will be so defeased upon the irrevocable deposit with the trustee, in trust, of money and/or U.S. government obligations or, in the case of debt securities denominated in a single currency other than United States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This defeasance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83"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Defeasance of Certain Covenants</w:t>
      </w:r>
      <w:r>
        <w:rPr>
          <w:rFonts w:ascii="Times New Roman" w:cs="Times New Roman" w:eastAsia="Times New Roman" w:hAnsi="Times New Roman"/>
          <w:sz w:val="18"/>
          <w:szCs w:val="18"/>
          <w:color w:val="auto"/>
        </w:rPr>
        <w:t>. The indenture provides that, unless otherwise provided by the terms of the applicable series of debt securities,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compliance with certain conditions:</w:t>
      </w:r>
    </w:p>
    <w:p>
      <w:pPr>
        <w:spacing w:after="0" w:line="64" w:lineRule="exact"/>
        <w:rPr>
          <w:sz w:val="20"/>
          <w:szCs w:val="20"/>
          <w:color w:val="auto"/>
        </w:rPr>
      </w:pPr>
    </w:p>
    <w:p>
      <w:pPr>
        <w:ind w:left="1080" w:right="16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“—Certain Covenants—Merger, Consolidation or Sale of Assets” and certain other covenants set forth in the indenture, as well as any additional covenants which may be set forth in the applicable prospectus supplement; and</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131" w:lineRule="exact"/>
        <w:rPr>
          <w:sz w:val="20"/>
          <w:szCs w:val="20"/>
          <w:color w:val="auto"/>
        </w:rPr>
      </w:pPr>
    </w:p>
    <w:p>
      <w:pPr>
        <w:ind w:left="1080" w:right="120" w:hanging="424"/>
        <w:spacing w:after="0" w:line="25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United States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92"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83"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Satisfaction and Discharge</w:t>
      </w:r>
      <w:r>
        <w:rPr>
          <w:rFonts w:ascii="Times New Roman" w:cs="Times New Roman" w:eastAsia="Times New Roman" w:hAnsi="Times New Roman"/>
          <w:sz w:val="18"/>
          <w:szCs w:val="18"/>
          <w:color w:val="auto"/>
        </w:rPr>
        <w:t>. The indenture provides that, if at any time we shall have delivered to the trustee for cancellation all debt securities of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theretofore authenticated and delivered (other than any debt securities of such series that shall have been destroyed, lost or stolen and which shall have been replaced or paid as provided in the indenture and debt securities for whose payment money has theretofore been deposited in trust and thereafter repaid to us as provided in the indenture) or all debt securities of such series not theretofore delivered to the trustee for cancellation shall have become due and payable, or are by their terms to become due and payable at their stated maturity within one year or are to be called for redemption within one year under arrangements satisfactory to the trustee for the giving of notice of redemption, and we shall deposit with the trustee as trust funds the entire amount in the currency in which such debt securities are denominated (except as otherwise provided pursuant to the indenture) sufficient to pay at stated maturity or upon redemption all debt securities of such series not theretofore delivered to the trustee for cancellation, including principal and premium, if any, and interest due or to become due on such date of stated maturity or redemption date, as the case may be, and if in either case we shall also pay or cause to be paid all other sums then due and payable hereunder by us with respect to the debt securities of such series, then the indenture shall cease to be of further effect with respect to the debt securities of such series, and the trustee, on our demand accompanied by an officer’s certificate and</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opinion of counsel and at our cost and expense, shall execute proper instruments acknowledging satisfaction of and discharging the indenture with respect to the debt securities of such series.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Debt securities of a series may be subordinated to our “Senior Indebtedness,” which we define generally to include any obligation created or assumed by us for the repayment of borrowed money and any guarantee thereof, whether outstanding or hereafter issued, unless, by the terms of the instrument creating or evidencing such obligation, it is provided that such obligation is subordinate or not superior in right of payment to the debt securities or to other obligations that are pari passu with, or subordinated to, the debt securities. Subordinated debt securities and the related guarantees will be subordinate in right of payment, to the extent and in the manner set forth in the indenture and the applicable prospectus supplement relating to such series, to the prior payment of all of our indebtedness and that of, if applicable, any Subsidiary Guarantor that is designated as “Senior Indebtedness” with respect to the series.</w:t>
      </w:r>
    </w:p>
    <w:p>
      <w:pPr>
        <w:spacing w:after="0" w:line="189" w:lineRule="exact"/>
        <w:rPr>
          <w:sz w:val="20"/>
          <w:szCs w:val="20"/>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The holders of Senior Indebtedness of ours or, if applicable, a Subsidiary Guarantor will receive payment in full of the Senior Indebtedness before holders of subordinated debt securities will receive any payment of principal, premium, if any, or interest with respect to the subordinated debt securities upon any payment or distribution of our assets or, if applicable to any series of outstanding debt securities, a Subsidiary Guarantor’s assets, to creditors:</w:t>
      </w:r>
    </w:p>
    <w:p>
      <w:pPr>
        <w:spacing w:after="0" w:line="63"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liquidation or dissolution of us or, if applicable to any series of outstanding debt securities, the Subsidiary Guarantors; or</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bankruptcy, receivership or similar proceeding relating to us or, if applicable to any series of outstanding debt securities, to the Subsidiary Guarantors.</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Until the Senior Indebtedness is paid in full, any distribution to which holders of subordinated debt securities would otherwise be entitled will be made to the holders of Senior Indebtedness, except that the holders of subordinated debt securities may receive Capital Stock in us and any debt securities that are subordinated to Senior Indebtedness to at least the same extent as the subordinated debt securities.</w:t>
      </w:r>
    </w:p>
    <w:p>
      <w:pPr>
        <w:spacing w:after="0" w:line="176"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If we do not pay any principal, premium, if any, or interest with respect to Senior Indebtedness within any applicable grace period (including at maturity), or any other default on Senior Indebtedness occurs and the maturity of the Senior Indebtedness is accelerated in accordance with its terms, we may not:</w:t>
      </w:r>
    </w:p>
    <w:p>
      <w:pPr>
        <w:spacing w:after="0" w:line="8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payments of principal, premium, if any, or interest with respect to subordinated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deposit for the purpose of defeasance or discharge of the subordinated debt securities; or</w:t>
      </w:r>
    </w:p>
    <w:p>
      <w:pPr>
        <w:spacing w:after="0" w:line="130" w:lineRule="exact"/>
        <w:rPr>
          <w:rFonts w:ascii="Times New Roman" w:cs="Times New Roman" w:eastAsia="Times New Roman" w:hAnsi="Times New Roman"/>
          <w:sz w:val="18"/>
          <w:szCs w:val="18"/>
          <w:color w:val="auto"/>
        </w:rPr>
      </w:pPr>
    </w:p>
    <w:p>
      <w:pPr>
        <w:ind w:left="1080" w:right="80" w:hanging="424"/>
        <w:spacing w:after="0" w:line="312" w:lineRule="auto"/>
        <w:tabs>
          <w:tab w:leader="none" w:pos="10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repurchase, redeem or otherwise retire any subordinated debt securities, except that in the case of subordinated debt securities that provide for a mandatory sinking fund, we may deliver subordinated debt securities to the trustee in satisfaction of our sinking fund obligation,</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unless, in either case:</w:t>
      </w:r>
    </w:p>
    <w:p>
      <w:pPr>
        <w:spacing w:after="0" w:line="13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default has been cured or waived and any declaration or acceleration has been rescinded;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Indebtedness has been paid in full in cash; or</w:t>
      </w:r>
    </w:p>
    <w:p>
      <w:pPr>
        <w:spacing w:after="0" w:line="130"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trustee receive written notice approving the payment from the representatives of each issue of “Designated Senior Indebtedness.”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Generally, “Designated Senior Indebtedness” will include:</w:t>
      </w:r>
    </w:p>
    <w:p>
      <w:pPr>
        <w:spacing w:after="0" w:line="131"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specified issue of Senior Indebtedness of at least $100 million; and</w:t>
      </w:r>
    </w:p>
    <w:p>
      <w:pPr>
        <w:spacing w:after="0" w:line="130" w:lineRule="exact"/>
        <w:rPr>
          <w:rFonts w:ascii="Times New Roman" w:cs="Times New Roman" w:eastAsia="Times New Roman" w:hAnsi="Times New Roman"/>
          <w:sz w:val="18"/>
          <w:szCs w:val="18"/>
          <w:color w:val="auto"/>
        </w:rPr>
      </w:pPr>
    </w:p>
    <w:p>
      <w:pPr>
        <w:ind w:left="5540" w:right="2220" w:hanging="4884"/>
        <w:spacing w:after="0" w:line="454" w:lineRule="auto"/>
        <w:tabs>
          <w:tab w:leader="none" w:pos="109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Senior Indebtedness that we may designate in respect of any series of subordinated debt securities. 18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During the continuance of any default, other than a default described in the immediately preceding paragraph, that may cause the maturity of any Designated Senior Indebtedness to be accelerated immediately without further notice, other than any notice required to effect such acceleration, or the expiration of any applicable grace periods, we may not pay the subordinated debt securities for a period called the “Payment Blockage Period.” A Payment Blockage Period will commence on the receipt by us and the trustee of written notice of the default, called a “Blockage Notice,” from the representative of any Designated Senior Indebtedness specifying an election to effect a Payment Blockage Period and will end 179 days thereafter.</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Payment Blockage Period may be terminated before its expiration:</w:t>
      </w:r>
    </w:p>
    <w:p>
      <w:pPr>
        <w:spacing w:after="0" w:line="131"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from the person or persons who gave the Blockage Notice;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repayment in full in cash of the Designated Senior Indebtedness with respect to which the Blockage Notice was given;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default giving rise to the Payment Blockage Period is no longer continuing.</w:t>
      </w:r>
    </w:p>
    <w:p>
      <w:pPr>
        <w:spacing w:after="0" w:line="225"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Unless the holders of the Designated Senior Indebtedness have accelerated the maturity of the Designated Senior Indebtedness, we may resume payments on the subordinated debt securities after the expiration of the Payment Blockage Period.</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Generally, not more than one Blockage Notice may be given in any period of 360 consecutive days. The total number of days during which any one or more Payment Blockage Periods are in effect, however, may not exceed an aggregate of 179 days during any period of 360 consecutive days.</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After all Senior Indebtedness is paid in full and until the subordinated debt securities are paid in full, holders of the subordinated debt securities shall be subrogated to the rights of holders of Senior Indebtedness to receive distributions applicable to Senior Indebtedness.</w:t>
      </w:r>
    </w:p>
    <w:p>
      <w:pPr>
        <w:spacing w:after="0" w:line="162"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As a result of the subordination provisions described above, in the event of insolvency, the holders of Senior Indebtedness, as well as certain of our general creditors, may recover more, ratably, than the holders of the subordinated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w:t>
      </w:r>
    </w:p>
    <w:p>
      <w:pPr>
        <w:spacing w:after="0" w:line="227" w:lineRule="exact"/>
        <w:rPr>
          <w:sz w:val="20"/>
          <w:szCs w:val="20"/>
          <w:color w:val="auto"/>
        </w:rPr>
      </w:pPr>
    </w:p>
    <w:p>
      <w:pPr>
        <w:ind w:left="820" w:hanging="264"/>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corporate stock;</w:t>
      </w:r>
    </w:p>
    <w:p>
      <w:pPr>
        <w:spacing w:after="0" w:line="225" w:lineRule="exact"/>
        <w:rPr>
          <w:rFonts w:ascii="Times New Roman" w:cs="Times New Roman" w:eastAsia="Times New Roman" w:hAnsi="Times New Roman"/>
          <w:sz w:val="18"/>
          <w:szCs w:val="18"/>
          <w:color w:val="auto"/>
        </w:rPr>
      </w:pPr>
    </w:p>
    <w:p>
      <w:pPr>
        <w:ind w:left="120" w:right="40" w:firstLine="436"/>
        <w:spacing w:after="0" w:line="282" w:lineRule="auto"/>
        <w:tabs>
          <w:tab w:leader="none" w:pos="8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of corporate stock;</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or membership interests (whether general or limited); and</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60"/>
          </w:cols>
          <w:pgMar w:left="320" w:top="455" w:right="5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36"/>
        <w:spacing w:after="0" w:line="282"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interest or participation that confers on a Person the right to receive a share of the profits and losses of, or distributions of assets of, the issuing Person.</w:t>
      </w:r>
    </w:p>
    <w:p>
      <w:pPr>
        <w:spacing w:after="0" w:line="160" w:lineRule="exact"/>
        <w:rPr>
          <w:sz w:val="20"/>
          <w:szCs w:val="20"/>
          <w:color w:val="auto"/>
        </w:rPr>
      </w:pPr>
    </w:p>
    <w:p>
      <w:pPr>
        <w:ind w:left="120" w:right="6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Tangible Assets</w:t>
      </w:r>
      <w:r>
        <w:rPr>
          <w:rFonts w:ascii="Times New Roman" w:cs="Times New Roman" w:eastAsia="Times New Roman" w:hAnsi="Times New Roman"/>
          <w:sz w:val="18"/>
          <w:szCs w:val="18"/>
          <w:color w:val="auto"/>
        </w:rPr>
        <w:t>” means, at any date of determination, the total amount of assets of us and our consolidated subsidiaries after deducting therefrom:</w:t>
      </w:r>
    </w:p>
    <w:p>
      <w:pPr>
        <w:spacing w:after="0" w:line="160" w:lineRule="exact"/>
        <w:rPr>
          <w:sz w:val="20"/>
          <w:szCs w:val="20"/>
          <w:color w:val="auto"/>
        </w:rPr>
      </w:pPr>
    </w:p>
    <w:p>
      <w:pPr>
        <w:ind w:left="120" w:firstLine="436"/>
        <w:spacing w:after="0" w:line="282" w:lineRule="auto"/>
        <w:tabs>
          <w:tab w:leader="none" w:pos="8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liabilities (excluding (A) any current liabilities that by their terms are extendable or renewable at the option of the obligor thereon to a time more than twelve months after the time as of which the amount thereof is being computed and (B) current maturities of long-term debt); and</w:t>
      </w:r>
    </w:p>
    <w:p>
      <w:pPr>
        <w:spacing w:after="0" w:line="161" w:lineRule="exact"/>
        <w:rPr>
          <w:rFonts w:ascii="Times New Roman" w:cs="Times New Roman" w:eastAsia="Times New Roman" w:hAnsi="Times New Roman"/>
          <w:sz w:val="18"/>
          <w:szCs w:val="18"/>
          <w:color w:val="auto"/>
        </w:rPr>
      </w:pPr>
    </w:p>
    <w:p>
      <w:pPr>
        <w:ind w:left="120" w:right="180" w:firstLine="436"/>
        <w:spacing w:after="0" w:line="266" w:lineRule="auto"/>
        <w:tabs>
          <w:tab w:leader="none" w:pos="8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(net of any applicable reserves) of all goodwill, trade names, trademarks, patents and other like intangible assets, all as set forth, or on a pro forma basis would be set forth, on our consolidated balance sheet and our consolidated subsidiaries for our most recently completed fiscal quarter for which financial statements have been filed with the SEC, prepared in accordance with generally accepted accounting principles.</w:t>
      </w:r>
    </w:p>
    <w:p>
      <w:pPr>
        <w:spacing w:after="0" w:line="174"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means that certain Credit Agreement, dated as of February 17, 2022, among the Company, Bank of America, N.A., as the administrative agent, collateral agent and swing line lender and the other agents and lenders party thereto, as the same may be further amended, restated, refinanced, replaced, renewed, refunded or otherwise modified, in whole or in part, from time to time.</w:t>
      </w:r>
    </w:p>
    <w:p>
      <w:pPr>
        <w:spacing w:after="0" w:line="173" w:lineRule="exact"/>
        <w:rPr>
          <w:sz w:val="20"/>
          <w:szCs w:val="20"/>
          <w:color w:val="auto"/>
        </w:rPr>
      </w:pPr>
    </w:p>
    <w:p>
      <w:pPr>
        <w:ind w:left="120" w:right="5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xml:space="preserve"> of any Person at any date means any obligation created or assumed by such person for the repayment of borrowed money or any guaranty thereof.</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Joint Venture</w:t>
      </w:r>
      <w:r>
        <w:rPr>
          <w:rFonts w:ascii="Times New Roman" w:cs="Times New Roman" w:eastAsia="Times New Roman" w:hAnsi="Times New Roman"/>
          <w:sz w:val="18"/>
          <w:szCs w:val="18"/>
          <w:color w:val="auto"/>
        </w:rPr>
        <w:t>” means any Person that is not a direct or indirect subsidiary of ours in which we or any of our subsidiaries owns Capital Stock.</w:t>
      </w:r>
    </w:p>
    <w:p>
      <w:pPr>
        <w:spacing w:after="0" w:line="225" w:lineRule="exact"/>
        <w:rPr>
          <w:sz w:val="20"/>
          <w:szCs w:val="20"/>
          <w:color w:val="auto"/>
        </w:rPr>
      </w:pPr>
    </w:p>
    <w:p>
      <w:pPr>
        <w:ind w:left="120" w:right="1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Non-Recourse Indebtedness</w:t>
      </w:r>
      <w:r>
        <w:rPr>
          <w:rFonts w:ascii="Times New Roman" w:cs="Times New Roman" w:eastAsia="Times New Roman" w:hAnsi="Times New Roman"/>
          <w:sz w:val="18"/>
          <w:szCs w:val="18"/>
          <w:color w:val="auto"/>
        </w:rPr>
        <w:t>” means any Indebtedness incurred by any Joint Venture or Non-Recourse Subsidiary which does not provide for recourse against us or any subsidiary of ours (other than a Non-Recourse Subsidiary) or any property or asset of ours or any subsidiary of ours (other than the Capital Stock or the properties or assets of a Joint Venture or Non-Recourse Subsidiary).</w:t>
      </w:r>
    </w:p>
    <w:p>
      <w:pPr>
        <w:spacing w:after="0" w:line="17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Non-Recourse Subsidiary</w:t>
      </w:r>
      <w:r>
        <w:rPr>
          <w:rFonts w:ascii="Times New Roman" w:cs="Times New Roman" w:eastAsia="Times New Roman" w:hAnsi="Times New Roman"/>
          <w:sz w:val="18"/>
          <w:szCs w:val="18"/>
          <w:color w:val="auto"/>
        </w:rPr>
        <w:t>” means any subsidiary of ours (i) whose principal purpose is to incur Non-Recourse Indebtedness and/or construct, lease, own or operate the assets financed in whole or in part thereby, or to become a direct or indirect partner, member or other equity participant or owner in a partnership, limited partnership, limited liability partnership, corporation (including a business trust), limited liability company, unlimited liability company, joint stock company, trust, unincorporated association or joint venture created for such purpose (collectively, a “Business Entity”), (ii) who is not an obligor or otherwise bound with respect to any Indebtedness other than Non-Recourse Indebtedness, (iii) the majority of the assets of which subsidiary or Business Entity are limited to (x) those assets being financed (or to be financed), or the operation of which is being financed (or to be financed), in whole or in part by Non-Recourse Indebtedness, (y) Capital Stock in, or Indebtedness or other obligations of, one or more other Non-Recourse Subsidiaries or Business Entities or (z) other assets reasonably related thereto and (iv) any subsidiary of a Non-Recourse Subsidiary; provided that such subsidiary shall be considered to be a Non-Recourse Subsidiary only to the extent that and for so long as each of the above requirements are met.</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Liens</w:t>
      </w:r>
      <w:r>
        <w:rPr>
          <w:rFonts w:ascii="Times New Roman" w:cs="Times New Roman" w:eastAsia="Times New Roman" w:hAnsi="Times New Roman"/>
          <w:sz w:val="18"/>
          <w:szCs w:val="18"/>
          <w:color w:val="auto"/>
        </w:rPr>
        <w:t>” means:</w:t>
      </w:r>
    </w:p>
    <w:p>
      <w:pPr>
        <w:spacing w:after="0" w:line="227" w:lineRule="exact"/>
        <w:rPr>
          <w:sz w:val="20"/>
          <w:szCs w:val="20"/>
          <w:color w:val="auto"/>
        </w:rPr>
      </w:pPr>
    </w:p>
    <w:p>
      <w:pPr>
        <w:ind w:left="820" w:hanging="264"/>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upon rights-of-way for pipeline purposes;</w:t>
      </w:r>
    </w:p>
    <w:p>
      <w:pPr>
        <w:spacing w:after="0" w:line="225" w:lineRule="exact"/>
        <w:rPr>
          <w:rFonts w:ascii="Times New Roman" w:cs="Times New Roman" w:eastAsia="Times New Roman" w:hAnsi="Times New Roman"/>
          <w:sz w:val="18"/>
          <w:szCs w:val="18"/>
          <w:color w:val="auto"/>
        </w:rPr>
      </w:pPr>
    </w:p>
    <w:p>
      <w:pPr>
        <w:ind w:left="120" w:firstLine="436"/>
        <w:spacing w:after="0" w:line="261"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restrictions and other similar encumbrances incurred in the ordinary course of business and encumbrances consisting of zoning restrictions, easements, licenses, restrictions on the use of real property or minor imperfections in title thereto and which do not in the aggregate materially adversely affect the value of the properties encumbered thereby or materially impair their use in the operation of the business of us and our subsidiaries;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36"/>
        <w:spacing w:after="0" w:line="282"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reserved to or vested by any provision of law in any municipality or public authority to control or regulate any of the properties of us or any subsidiary or the use thereof or the rights and interests of us or any subsidiary therein, in any manner under any and all laws;</w:t>
      </w:r>
    </w:p>
    <w:p>
      <w:pPr>
        <w:spacing w:after="0" w:line="161" w:lineRule="exact"/>
        <w:rPr>
          <w:rFonts w:ascii="Times New Roman" w:cs="Times New Roman" w:eastAsia="Times New Roman" w:hAnsi="Times New Roman"/>
          <w:sz w:val="18"/>
          <w:szCs w:val="18"/>
          <w:color w:val="auto"/>
        </w:rPr>
      </w:pPr>
    </w:p>
    <w:p>
      <w:pPr>
        <w:ind w:left="120" w:firstLine="436"/>
        <w:spacing w:after="0" w:line="282"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reserved to the grantors of any properties of us or any subsidiary, and the restrictions, conditions, restrictive covenants and limitations, in respect thereto, pursuant to the terms, conditions and provisions of any rights-of-way agreements, contracts or other agreements therewith;</w:t>
      </w:r>
    </w:p>
    <w:p>
      <w:pPr>
        <w:spacing w:after="0" w:line="161" w:lineRule="exact"/>
        <w:rPr>
          <w:rFonts w:ascii="Times New Roman" w:cs="Times New Roman" w:eastAsia="Times New Roman" w:hAnsi="Times New Roman"/>
          <w:sz w:val="18"/>
          <w:szCs w:val="18"/>
          <w:color w:val="auto"/>
        </w:rPr>
      </w:pPr>
    </w:p>
    <w:p>
      <w:pPr>
        <w:ind w:left="120" w:right="80" w:firstLine="436"/>
        <w:spacing w:after="0" w:line="261"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or governmental lien or lien arising by operation of law, or any mechanics’, repairmen’s, materialmen’s, suppliers’, carriers’, landlords’, warehousemen’s or similar lien incurred in the ordinary course of business which is not more than sixty (60) days past due or which is being contested in good faith by appropriate processes or proceedings and any undetermined lien which is incidental to construction, development, improvement or repair;</w:t>
      </w:r>
    </w:p>
    <w:p>
      <w:pPr>
        <w:spacing w:after="0" w:line="179" w:lineRule="exact"/>
        <w:rPr>
          <w:rFonts w:ascii="Times New Roman" w:cs="Times New Roman" w:eastAsia="Times New Roman" w:hAnsi="Times New Roman"/>
          <w:sz w:val="18"/>
          <w:szCs w:val="18"/>
          <w:color w:val="auto"/>
        </w:rPr>
      </w:pPr>
    </w:p>
    <w:p>
      <w:pPr>
        <w:ind w:left="120" w:right="80" w:firstLine="436"/>
        <w:spacing w:after="0" w:line="282"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reserved to, or vested in, any municipality or public authority by the terms of any right, power, franchise, grant, license, permit or by any provision of law, to purchase or recapture or to designate a purchaser of, any property;</w:t>
      </w:r>
    </w:p>
    <w:p>
      <w:pPr>
        <w:spacing w:after="0" w:line="161" w:lineRule="exact"/>
        <w:rPr>
          <w:rFonts w:ascii="Times New Roman" w:cs="Times New Roman" w:eastAsia="Times New Roman" w:hAnsi="Times New Roman"/>
          <w:sz w:val="18"/>
          <w:szCs w:val="18"/>
          <w:color w:val="auto"/>
        </w:rPr>
      </w:pPr>
    </w:p>
    <w:p>
      <w:pPr>
        <w:ind w:left="120" w:right="500" w:firstLine="436"/>
        <w:spacing w:after="0" w:line="282"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and assessments which are (a) for the then current year, (b) not at the time delinquent, or (c) delinquent but the validity or amount of which is being contested at the time by us or any of our subsidiaries in good faith by appropriate processes or proceedings;</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or to secure performance of, leases;</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 favor of us or any subsidiary;</w:t>
      </w:r>
    </w:p>
    <w:p>
      <w:pPr>
        <w:spacing w:after="0" w:line="225" w:lineRule="exact"/>
        <w:rPr>
          <w:rFonts w:ascii="Times New Roman" w:cs="Times New Roman" w:eastAsia="Times New Roman" w:hAnsi="Times New Roman"/>
          <w:sz w:val="18"/>
          <w:szCs w:val="18"/>
          <w:color w:val="auto"/>
        </w:rPr>
      </w:pPr>
    </w:p>
    <w:p>
      <w:pPr>
        <w:ind w:left="120" w:right="100" w:firstLine="436"/>
        <w:spacing w:after="0" w:line="282" w:lineRule="auto"/>
        <w:tabs>
          <w:tab w:leader="none" w:pos="9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series of debt securities, any lien upon any property or assets of us or any subsidiary in existence on the date of the initial issuance of the debt securities;</w:t>
      </w:r>
    </w:p>
    <w:p>
      <w:pPr>
        <w:spacing w:after="0" w:line="161" w:lineRule="exact"/>
        <w:rPr>
          <w:rFonts w:ascii="Times New Roman" w:cs="Times New Roman" w:eastAsia="Times New Roman" w:hAnsi="Times New Roman"/>
          <w:sz w:val="18"/>
          <w:szCs w:val="18"/>
          <w:color w:val="auto"/>
        </w:rPr>
      </w:pPr>
    </w:p>
    <w:p>
      <w:pPr>
        <w:ind w:left="120" w:right="540" w:firstLine="436"/>
        <w:spacing w:after="0" w:line="312" w:lineRule="auto"/>
        <w:tabs>
          <w:tab w:leader="none" w:pos="899"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incurred in the ordinary course of business in connection with workmen’s compensation, unemployment insurance, temporary disability, social security, retiree health or similar laws or regulations or to secure obligations imposed by statute or governmental regulations;</w:t>
      </w:r>
    </w:p>
    <w:p>
      <w:pPr>
        <w:spacing w:after="0" w:line="139" w:lineRule="exact"/>
        <w:rPr>
          <w:rFonts w:ascii="Times New Roman" w:cs="Times New Roman" w:eastAsia="Times New Roman" w:hAnsi="Times New Roman"/>
          <w:sz w:val="17"/>
          <w:szCs w:val="17"/>
          <w:color w:val="auto"/>
        </w:rPr>
      </w:pPr>
    </w:p>
    <w:p>
      <w:pPr>
        <w:ind w:left="120" w:right="520" w:firstLine="436"/>
        <w:spacing w:after="0" w:line="261" w:lineRule="auto"/>
        <w:tabs>
          <w:tab w:leader="none" w:pos="9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any person to secure obligations under provisions of any letters of credit, bank guarantees, bonds or surety obligations required or requested by any governmental authority in connection with any contract or statute, provided that such obligations do not constitute Indebtedness; or any lien upon or deposits of any assets to secure performance of bids, trade contracts, leases or statutory obligations, and other obligations of a like nature incurred in the ordinary course of business;</w:t>
      </w:r>
    </w:p>
    <w:p>
      <w:pPr>
        <w:spacing w:after="0" w:line="179" w:lineRule="exact"/>
        <w:rPr>
          <w:rFonts w:ascii="Times New Roman" w:cs="Times New Roman" w:eastAsia="Times New Roman" w:hAnsi="Times New Roman"/>
          <w:sz w:val="18"/>
          <w:szCs w:val="18"/>
          <w:color w:val="auto"/>
        </w:rPr>
      </w:pPr>
    </w:p>
    <w:p>
      <w:pPr>
        <w:ind w:left="120" w:right="40" w:firstLine="436"/>
        <w:spacing w:after="0" w:line="266" w:lineRule="auto"/>
        <w:tabs>
          <w:tab w:leader="none" w:pos="9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created at the time of acquisition of such property or assets by us or any of our subsidiaries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175" w:lineRule="exact"/>
        <w:rPr>
          <w:rFonts w:ascii="Times New Roman" w:cs="Times New Roman" w:eastAsia="Times New Roman" w:hAnsi="Times New Roman"/>
          <w:sz w:val="18"/>
          <w:szCs w:val="18"/>
          <w:color w:val="auto"/>
        </w:rPr>
      </w:pPr>
    </w:p>
    <w:p>
      <w:pPr>
        <w:ind w:left="120" w:firstLine="436"/>
        <w:spacing w:after="0" w:line="266" w:lineRule="auto"/>
        <w:tabs>
          <w:tab w:leader="none" w:pos="9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to secure all or part of the cost of construction, development, repair or improvements thereon or to secure Indebtedness incurred prior to, at the time of, or within one year after completion of such construction, development, repair or improvements or the commencement of full operations thereof (whichever is later), to provide funds for any such purpose;</w:t>
      </w:r>
    </w:p>
    <w:p>
      <w:pPr>
        <w:spacing w:after="0" w:line="175" w:lineRule="exact"/>
        <w:rPr>
          <w:rFonts w:ascii="Times New Roman" w:cs="Times New Roman" w:eastAsia="Times New Roman" w:hAnsi="Times New Roman"/>
          <w:sz w:val="18"/>
          <w:szCs w:val="18"/>
          <w:color w:val="auto"/>
        </w:rPr>
      </w:pPr>
    </w:p>
    <w:p>
      <w:pPr>
        <w:ind w:left="120" w:firstLine="436"/>
        <w:spacing w:after="0" w:line="266" w:lineRule="auto"/>
        <w:tabs>
          <w:tab w:leader="none" w:pos="9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existing thereon at the time of the acquisition thereof by us or any of our subsidiaries and any lien upon any property or assets of a person existing thereon at the time such person becomes a subsidiary of us by acquisition, merger or otherwise; provided that, in each case, such lien only encumbers the property or assets so acquired or owned by such person at the time such person becomes a subsidiary;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36"/>
        <w:spacing w:after="0" w:line="312" w:lineRule="auto"/>
        <w:tabs>
          <w:tab w:leader="none" w:pos="90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imposed by law or order as a result of any proceeding before any court or regulatory body that is being contested in good faith, and liens which secure a judgment or other court-ordered award or settlement as to which we or the applicable subsidiary has not exhausted its appellate rights;</w:t>
      </w:r>
    </w:p>
    <w:p>
      <w:pPr>
        <w:spacing w:after="0" w:line="139" w:lineRule="exact"/>
        <w:rPr>
          <w:rFonts w:ascii="Times New Roman" w:cs="Times New Roman" w:eastAsia="Times New Roman" w:hAnsi="Times New Roman"/>
          <w:sz w:val="17"/>
          <w:szCs w:val="17"/>
          <w:color w:val="auto"/>
        </w:rPr>
      </w:pPr>
    </w:p>
    <w:p>
      <w:pPr>
        <w:ind w:left="120" w:firstLine="436"/>
        <w:spacing w:after="0" w:line="256" w:lineRule="auto"/>
        <w:tabs>
          <w:tab w:leader="none" w:pos="90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refinancing, refunding or replacement (or successive extensions, renewals, refinancing, refunding or replacements) of liens, in whole or in part, referred to in clauses (1) through (16)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expenses of us or our subsidiaries (including any premium) incurred in connection with such extension, renewal, refinancing, refunding or replacement;</w:t>
      </w:r>
    </w:p>
    <w:p>
      <w:pPr>
        <w:spacing w:after="0" w:line="187" w:lineRule="exact"/>
        <w:rPr>
          <w:rFonts w:ascii="Times New Roman" w:cs="Times New Roman" w:eastAsia="Times New Roman" w:hAnsi="Times New Roman"/>
          <w:sz w:val="18"/>
          <w:szCs w:val="18"/>
          <w:color w:val="auto"/>
        </w:rPr>
      </w:pPr>
    </w:p>
    <w:p>
      <w:pPr>
        <w:ind w:left="900" w:hanging="344"/>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on property or assets, or pledges of Capital Stock, of (a) any Joint Venture owned by us or any subsidiary of ours or (b) any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Non-Recourse Subsidiary, in each case only to the extent securing Non-Recourse Indebtedness of such Joint Venture or Non-Recourse Subsidiary; and</w:t>
      </w:r>
    </w:p>
    <w:p>
      <w:pPr>
        <w:spacing w:after="0" w:line="207" w:lineRule="exact"/>
        <w:rPr>
          <w:sz w:val="20"/>
          <w:szCs w:val="20"/>
          <w:color w:val="auto"/>
        </w:rPr>
      </w:pPr>
    </w:p>
    <w:p>
      <w:pPr>
        <w:ind w:left="120" w:right="180" w:firstLine="436"/>
        <w:spacing w:after="0" w:line="282" w:lineRule="auto"/>
        <w:tabs>
          <w:tab w:leader="none" w:pos="90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resulting from the deposit of moneys or evidence of indebtedness in trust for the purpose of defeasing Indebtedness of us or any of our subsidiaries.</w:t>
      </w:r>
    </w:p>
    <w:p>
      <w:pPr>
        <w:spacing w:after="0" w:line="160" w:lineRule="exact"/>
        <w:rPr>
          <w:sz w:val="20"/>
          <w:szCs w:val="20"/>
          <w:color w:val="auto"/>
        </w:rPr>
      </w:pPr>
    </w:p>
    <w:p>
      <w:pPr>
        <w:ind w:left="12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Person</w:t>
      </w:r>
      <w:r>
        <w:rPr>
          <w:rFonts w:ascii="Times New Roman" w:cs="Times New Roman" w:eastAsia="Times New Roman" w:hAnsi="Times New Roman"/>
          <w:sz w:val="17"/>
          <w:szCs w:val="17"/>
          <w:color w:val="auto"/>
        </w:rPr>
        <w:t>” means any individual, corporation, partnership, limited liability company, joint venture, incorporated or unincorporated association, joint stock company, trust, unincorporated organization or government or other agency, instrumentality or political subdivision thereof or other entity of any kind.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Property</w:t>
      </w:r>
      <w:r>
        <w:rPr>
          <w:rFonts w:ascii="Times New Roman" w:cs="Times New Roman" w:eastAsia="Times New Roman" w:hAnsi="Times New Roman"/>
          <w:sz w:val="18"/>
          <w:szCs w:val="18"/>
          <w:color w:val="auto"/>
        </w:rPr>
        <w:t>” means, whether owned or leased on the date of the initial issuance of the debt securities or thereafter acquired:</w:t>
      </w:r>
    </w:p>
    <w:p>
      <w:pPr>
        <w:spacing w:after="0" w:line="227" w:lineRule="exact"/>
        <w:rPr>
          <w:sz w:val="20"/>
          <w:szCs w:val="20"/>
          <w:color w:val="auto"/>
        </w:rPr>
      </w:pPr>
    </w:p>
    <w:p>
      <w:pPr>
        <w:ind w:left="120" w:right="20" w:firstLine="436"/>
        <w:spacing w:after="0" w:line="266" w:lineRule="auto"/>
        <w:tabs>
          <w:tab w:leader="none" w:pos="8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pipeline assets of us or any of our subsidiaries, including any related facilities employed in the gathering, transportation, distribution, storage or marketing of natural gas, refined petroleum products, natural gas liquids and petrochemicals, that are located in the United States of America; and</w:t>
      </w:r>
    </w:p>
    <w:p>
      <w:pPr>
        <w:spacing w:after="0" w:line="175" w:lineRule="exact"/>
        <w:rPr>
          <w:rFonts w:ascii="Times New Roman" w:cs="Times New Roman" w:eastAsia="Times New Roman" w:hAnsi="Times New Roman"/>
          <w:sz w:val="18"/>
          <w:szCs w:val="18"/>
          <w:color w:val="auto"/>
        </w:rPr>
      </w:pPr>
    </w:p>
    <w:p>
      <w:pPr>
        <w:ind w:left="120" w:right="320" w:firstLine="436"/>
        <w:spacing w:after="0" w:line="282" w:lineRule="auto"/>
        <w:tabs>
          <w:tab w:leader="none" w:pos="8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processing, compression, treating, blending or manufacturing plant or terminal owned or leased by us or any of our subsidiaries that is located in the United States, except in the case of either of the preceding clause (1) or this clause (2):</w:t>
      </w:r>
    </w:p>
    <w:p>
      <w:pPr>
        <w:spacing w:after="0" w:line="54" w:lineRule="exact"/>
        <w:rPr>
          <w:sz w:val="20"/>
          <w:szCs w:val="20"/>
          <w:color w:val="auto"/>
        </w:rPr>
      </w:pPr>
    </w:p>
    <w:p>
      <w:pPr>
        <w:ind w:left="560" w:right="660" w:hanging="4"/>
        <w:spacing w:after="0" w:line="282" w:lineRule="auto"/>
        <w:tabs>
          <w:tab w:leader="none" w:pos="80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assets consisting of inventories, furniture, office fixtures and equipment (including data processing equipment), vehicles and equipment used on, or useful with, vehicles; and</w:t>
      </w:r>
    </w:p>
    <w:p>
      <w:pPr>
        <w:spacing w:after="0" w:line="53"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assets which, in our good faith opinion, are not material in relation to the activities of us and our subsidiaries taken as a whole.</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means any subsidiary owning or leasing, directly or indirectly through ownership in another subsidiary, any Principal Property.</w:t>
      </w:r>
    </w:p>
    <w:p>
      <w:pPr>
        <w:spacing w:after="0" w:line="225"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Person, any corporation, association or business entity of which more than 50% of the total voting power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interests entitled (without regard to the occurrence of any contingency) to vote in the election of directors, managers, or trustees thereof or any partnership of which more than 50% of the partners’ equity interests (considering all partners’ equity interests as a single class) is, in each case, at the time owned or controlled, directly or indirectly, by such Person or one or more subsidiaries of such Person or combination thereof.</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following summary of our common stock, preferred stock, amended and restated certificate of incorporation, as amended (the “amended and restated certificate of incorporation”), and third amended and restated bylaws (the “amended and restated bylaws”) does not purport to be complete and is qualified in its entirety by reference to the provisions of applicable law and to our amended and restated certificate of incorporation, and amended and restated bylaws, which are filed as exhibits to the registration statement of which this prospectus is a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authorized common stock of Targa Resources Corp. consists of 450,000,000 shares, par value $0.001 per share.</w:t>
      </w:r>
    </w:p>
    <w:p>
      <w:pPr>
        <w:spacing w:after="0" w:line="225"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Except as provided by law or in a preferred stock designation, holders of common stock are entitled to one vote for each share held of record on all matters submitted to a vote of the stockholders, have the exclusive right to vote for the election of directors and do not have cumulative voting rights. Except as otherwise required by law, holders of common stock, as such, are not entitled to vote on any amendment to the amended and restated certificate of incorporation (including any certificate of designations relating to any series of preferred stock) that relates solely to the terms of any outstanding series of preferred stock if the holders of such affected series are entitled, either separately or together with the holders of one or more other such series, to vote thereon pursuant to the amended and restated certificate of incorporation (including any certificate of designations relating to any series of preferred stock) or pursuant to the General Corporation Law of the State of Delaware (the “DGCL”). Subject to preferences that may be applicable to any outstanding shares or series of preferred stock, holders of common stock are entitled to receive ratably such dividends (payable in cash, stock or otherwise), if any, as may be declared from time to time by our board of directors out of funds legally available for dividend payments. All outstanding shares of common stock are fully paid and non-assessable. The holders of common stock have no preferences or rights of conversion, exchange, pre-emption or other subscription rights. There are no redemption or sinking fund provisions applicable to the common stock. In the event of any liquidation, dissolution or winding-up of our affairs, holders of common stock will be entitled to share ratably in our assets that are remaining after payment or provision for payment of all of our debts and obligations and after liquidation payments to holders of outstanding shares of preferred stock, if any.</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authorized preferred stock of Targa Resources Corp. consists of 100,000,000 shares, par value $0.001 per share, of which no shares are outstanding as of the date of this Registration Statement.</w:t>
      </w:r>
    </w:p>
    <w:p>
      <w:pPr>
        <w:spacing w:after="0" w:line="16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our board of directors, subject to any limitations prescribed by law, without further stockholder approval, to establish and to issue from time to time one or more classes or series of preferred stock. Each class or series of preferred stock will cover the number of shares and will have the powers, preferences, rights, qualifications, limitations and restrictions determined by the board of directors, which may include, among others, dividend rights, liquidation preferences, voting rights, conversion rights, preemptive rights and redemption rights. Except as provided by law or in a preferred stock designation, the holders of preferred stock will not be entitled to vote at or receive notice of any meeting of stockholders.</w:t>
      </w:r>
    </w:p>
    <w:p>
      <w:pPr>
        <w:spacing w:after="0" w:line="187" w:lineRule="exact"/>
        <w:rPr>
          <w:sz w:val="20"/>
          <w:szCs w:val="20"/>
          <w:color w:val="auto"/>
        </w:rPr>
      </w:pPr>
    </w:p>
    <w:p>
      <w:pPr>
        <w:ind w:left="120" w:right="280"/>
        <w:spacing w:after="0" w:line="256" w:lineRule="auto"/>
        <w:rPr>
          <w:sz w:val="20"/>
          <w:szCs w:val="20"/>
          <w:color w:val="auto"/>
        </w:rPr>
      </w:pPr>
      <w:r>
        <w:rPr>
          <w:rFonts w:ascii="Times New Roman" w:cs="Times New Roman" w:eastAsia="Times New Roman" w:hAnsi="Times New Roman"/>
          <w:sz w:val="18"/>
          <w:szCs w:val="18"/>
          <w:color w:val="auto"/>
        </w:rPr>
        <w:t>The certificate of designations governing the Series A Preferred Stock (the “Series A Preferred Stock”) provides the holders of the Series A Preferred Stock with the right to vote, under certain conditions, on an as-converted basis with our common stockholders on matters submitted to a stockholder vote. So long as any Series A Preferred Stock is outstanding, subject to certain exceptions, the affirmative vote or consent of the holders of at least a majority of the outstanding Series A Preferred Stock, voting together as a separate class, will be necessary for effecting or validating, among other things: (i) any issuance of stock senior to the Series A Preferred Stock; (ii) any issuance, authorization or creation of, or any increase by any of our consolidated subsidiaries of any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issued or authorized amount of, any specific class or series of securities; (iii) any issuance by us of parity stock, subject to certain exceptions; and</w:t>
      </w:r>
    </w:p>
    <w:p>
      <w:pPr>
        <w:spacing w:after="0" w:line="27" w:lineRule="exact"/>
        <w:rPr>
          <w:sz w:val="20"/>
          <w:szCs w:val="20"/>
          <w:color w:val="auto"/>
        </w:rPr>
      </w:pPr>
    </w:p>
    <w:p>
      <w:pPr>
        <w:ind w:left="420" w:hanging="304"/>
        <w:spacing w:after="0"/>
        <w:tabs>
          <w:tab w:leader="none" w:pos="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incurrence of indebtedness by us and our consolidated subsidiaries for borrowed monies, other than under the Credit Agreement and a credit</w:t>
      </w:r>
    </w:p>
    <w:p>
      <w:pPr>
        <w:spacing w:after="0" w:line="9" w:lineRule="exact"/>
        <w:rPr>
          <w:rFonts w:ascii="Times New Roman" w:cs="Times New Roman" w:eastAsia="Times New Roman" w:hAnsi="Times New Roman"/>
          <w:sz w:val="18"/>
          <w:szCs w:val="18"/>
          <w:color w:val="auto"/>
        </w:rPr>
      </w:pPr>
    </w:p>
    <w:p>
      <w:pPr>
        <w:ind w:left="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at Targa Resources Partners LP (or replacement commercial bank credit facilities) in an aggregate amount up to $2.75 billion, or indebtedness that complies with a specified fixed charge coverage ratio.</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 of Our Amended and Restated Certificate of Incorporation, Our Amended and Restated Bylaws and Delaware Law</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Some provisions of Delaware law, our amended and restated certificate of incorporation and our amended and restated bylaws described below, contain provisions that could make the following transactions more difficult: acquisitions of us by means of a tender offer, a proxy contest or otherwise and removal of our incumbent officers and directors. These provisions may also have the effect of preventing changes in our management.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83" w:lineRule="exact"/>
        <w:rPr>
          <w:sz w:val="20"/>
          <w:szCs w:val="20"/>
          <w:color w:val="auto"/>
        </w:rPr>
      </w:pPr>
    </w:p>
    <w:p>
      <w:pPr>
        <w:ind w:left="120" w:right="280"/>
        <w:spacing w:after="0" w:line="281" w:lineRule="auto"/>
        <w:rPr>
          <w:sz w:val="20"/>
          <w:szCs w:val="20"/>
          <w:color w:val="auto"/>
        </w:rPr>
      </w:pPr>
      <w:r>
        <w:rPr>
          <w:rFonts w:ascii="Times New Roman" w:cs="Times New Roman" w:eastAsia="Times New Roman" w:hAnsi="Times New Roman"/>
          <w:sz w:val="17"/>
          <w:szCs w:val="17"/>
          <w:color w:val="auto"/>
        </w:rPr>
        <w:t>These provisions, summarized below, are expected to discourage coercive takeover practices and inadequate takeover bids. These provisions are also designed to encourage persons seeking to acquire control of us to first negotiate with us. We believe that the benefits of increased protection and our potential ability to negotiate with the proponent of an unfriendly or unsolicited proposal to acquire or restructure us outweigh the disadvantages of discouraging these proposals because, among other things, negotiation of these proposals could result in an improvement of their terms.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121" w:lineRule="exact"/>
        <w:rPr>
          <w:sz w:val="20"/>
          <w:szCs w:val="20"/>
          <w:color w:val="auto"/>
        </w:rPr>
      </w:pPr>
    </w:p>
    <w:p>
      <w:pPr>
        <w:ind w:left="120" w:right="60"/>
        <w:spacing w:after="0" w:line="289" w:lineRule="auto"/>
        <w:rPr>
          <w:sz w:val="20"/>
          <w:szCs w:val="20"/>
          <w:color w:val="auto"/>
        </w:rPr>
      </w:pPr>
      <w:r>
        <w:rPr>
          <w:rFonts w:ascii="Times New Roman" w:cs="Times New Roman" w:eastAsia="Times New Roman" w:hAnsi="Times New Roman"/>
          <w:sz w:val="17"/>
          <w:szCs w:val="17"/>
          <w:color w:val="auto"/>
        </w:rPr>
        <w:t>Pursuant to our amended and restated certificate of incorporation, we are subject to the provisions of Section 203 of the DGCL. In general, those provisions prohibit a Delaware corporation, including those whose securities are listed for trading on the NYSE, from engaging in any business combination with any interested stockholder for a period of three years following the date that the stockholder became an interested stockholder, unless:</w:t>
      </w:r>
    </w:p>
    <w:p>
      <w:pPr>
        <w:spacing w:after="0" w:line="63"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before the date the interested stockholder attained that status;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that resulted in the stockholder becoming an interested stockholder, the interested stockholder owned at least 85% of the voting stock of the corporation outstanding at the time the transaction commenced; or</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time as such person becomes an interested stockholder, the business combination is approved by the board of directors and authorized at a meeting of stockholders by at least two-thirds of the outstanding voting stock that is not owned by the interested stockholder.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203 defines “business combination” to include the following:</w:t>
      </w:r>
    </w:p>
    <w:p>
      <w:pPr>
        <w:spacing w:after="0" w:line="131"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(in one or a series of transactions) of 10% or more of the assets of the corporation involving the interested stockholder;</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involving the corporation that has the effect of increasing the proportionate share of the stock of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directly or indirectly, of any loans, advances, guarantees, pledges or other financial benefits provided by or through the corporation.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Among other things, our amended and restated certificate of incorporation and amended and restated bylaws:</w:t>
      </w:r>
    </w:p>
    <w:p>
      <w:pPr>
        <w:spacing w:after="0" w:line="131" w:lineRule="exact"/>
        <w:rPr>
          <w:sz w:val="20"/>
          <w:szCs w:val="20"/>
          <w:color w:val="auto"/>
        </w:rPr>
      </w:pPr>
    </w:p>
    <w:p>
      <w:pPr>
        <w:ind w:left="108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advance notice procedures with regard to stockholder proposals relating to the nomination of candidates for election as directors or new business to be brought before meetings of our stockholders, which may preclude our stockholders from bringing matters before our stockholders at an annual or special meeting;</w:t>
      </w:r>
    </w:p>
    <w:p>
      <w:pPr>
        <w:spacing w:after="0" w:line="81" w:lineRule="exact"/>
        <w:rPr>
          <w:rFonts w:ascii="Times New Roman" w:cs="Times New Roman" w:eastAsia="Times New Roman" w:hAnsi="Times New Roman"/>
          <w:sz w:val="18"/>
          <w:szCs w:val="18"/>
          <w:color w:val="auto"/>
        </w:rPr>
      </w:pPr>
    </w:p>
    <w:p>
      <w:pPr>
        <w:ind w:left="1540" w:right="660" w:hanging="331"/>
        <w:spacing w:after="0" w:line="282"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procedures provide that notice of stockholder proposals must be timely given in writing and received by our corporate secretary prior to the meeting at which the action is to be taken;</w:t>
      </w:r>
    </w:p>
    <w:p>
      <w:pPr>
        <w:spacing w:after="0" w:line="67" w:lineRule="exact"/>
        <w:rPr>
          <w:rFonts w:ascii="Times New Roman" w:cs="Times New Roman" w:eastAsia="Times New Roman" w:hAnsi="Times New Roman"/>
          <w:sz w:val="18"/>
          <w:szCs w:val="18"/>
          <w:color w:val="auto"/>
        </w:rPr>
      </w:pPr>
    </w:p>
    <w:p>
      <w:pPr>
        <w:ind w:left="1540" w:right="80" w:hanging="331"/>
        <w:spacing w:after="0" w:line="282"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to be timely, notice must be received at our principal executive offices not less than 90 days nor more than 120 days prior to the first anniversary date of the annual meeting for the preceding year;</w:t>
      </w:r>
    </w:p>
    <w:p>
      <w:pPr>
        <w:spacing w:after="0" w:line="67" w:lineRule="exact"/>
        <w:rPr>
          <w:rFonts w:ascii="Times New Roman" w:cs="Times New Roman" w:eastAsia="Times New Roman" w:hAnsi="Times New Roman"/>
          <w:sz w:val="18"/>
          <w:szCs w:val="18"/>
          <w:color w:val="auto"/>
        </w:rPr>
      </w:pPr>
    </w:p>
    <w:p>
      <w:pPr>
        <w:ind w:left="1540" w:right="100" w:hanging="331"/>
        <w:spacing w:after="0" w:line="266"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must set forth specific information regarding the stockholder and the proposal or director nominee, as described in our amended and restated bylaws (which requirements are in addition to those set forth in the regulations adopted by the SEC under the Exchange Act);</w:t>
      </w:r>
    </w:p>
    <w:p>
      <w:pPr>
        <w:spacing w:after="0" w:line="81" w:lineRule="exact"/>
        <w:rPr>
          <w:rFonts w:ascii="Times New Roman" w:cs="Times New Roman" w:eastAsia="Times New Roman" w:hAnsi="Times New Roman"/>
          <w:sz w:val="18"/>
          <w:szCs w:val="18"/>
          <w:color w:val="auto"/>
        </w:rPr>
      </w:pPr>
    </w:p>
    <w:p>
      <w:pPr>
        <w:ind w:left="1080" w:right="140" w:hanging="424"/>
        <w:spacing w:after="0" w:line="258"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 stockholder or group of up to 20 stockholders (with funds having specified relationships constituting a single stockholder), owning 3% or more of our common stock continuously for at least three years, may nominate and include in our proxy materials director nominees constituting up to 20% of the board of directors (rounded down to the nearest whole number), provided that the nominating stockholder(s) and the nominee(s) have satisfied the requirements specified in our amended and restated bylaws and subject to the other terms and conditions set forth in our amended and restated bylaws;</w:t>
      </w:r>
    </w:p>
    <w:p>
      <w:pPr>
        <w:spacing w:after="0" w:line="88"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board of directors the ability to authorize undesignated preferred stock. This ability makes it possible for our board of directors to issue, without stockholder approval,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shall be divided into three classes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our board of directors;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any action required or permitted to be taken by the stockholders must be effected at a duly called annual or special meeting of stockholders and may not be effected by any consent in writing in lieu of a meeting of such stockholders, subject to the rights of the holders of any series of preferred stock;</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only for cause and only by the affirmative vote of holders of at least a majority of the voting power of our then outstanding common stock;</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amended and restated certificate of incorporation and amended and restated bylaws may be amended by the affirmative vote of the holders of at least 66 2/3% of our then outstanding common stock;</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only be called at the request in writing by a majority of our board of directors, by our chief executive officer or by the chairman of the board;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amended and restated bylaws can be amended or repealed by our board of directors or our stockholders.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Matters</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limits the liability of our directors for monetary damages for breach of their fiduciary duty as directors, except for the following liabilities that cannot be eliminated under the DGCL:</w:t>
      </w:r>
    </w:p>
    <w:p>
      <w:pPr>
        <w:spacing w:after="0" w:line="67"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their duty of loyalty to us or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unlawful payment of dividends or an unlawful stock purchase or redemption, as provided under Section 174 of the DGCL;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Any amendment, repeal or modification of these provisions will be prospective only and would not affect any limitation on liability of a director for acts or omissions that occurred prior to any such amendment, repeal or modification.</w:t>
      </w:r>
    </w:p>
    <w:p>
      <w:pPr>
        <w:spacing w:after="0" w:line="162"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Our amended and restated bylaws provide that we will indemnify our directors and officers to the fullest extent permitted by the DGCL. Our amended and restated bylaws also permit us to purchase insurance on behalf of any of our officers, directors, employees or agents or any person who is or was serving at our request as an officer, director, employee or agent of another enterprise for any expense, liability or loss asserted against such person and incurred by any such person in any such capacity, or arising out of that person’s status as such, regardless of whether the DGCL would permit indemnification.</w:t>
      </w:r>
    </w:p>
    <w:p>
      <w:pPr>
        <w:spacing w:after="0" w:line="183"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The agreements provide that we will indemnify and hold harmless each indemnitee for certain expenses to the fullest extent permitted or authorized by law, including the DGCL, in effect on the date of the agreement or as it may be amended to provide more advantageous rights to the indemnitee. If such indemnification is unavailable as a result of a court decision and if we and the indemnitee are jointly liable in the proceeding, we will contribute funds to the indemnitee for his expenses in proportion to relative benefit and fault of us and the indemnitee in the transaction giving rise to the proceeding. The indemnification agreements also provide that we will indemnify the indemnitee for monetary damages for actions taken as our director or officer or for serving at our request as a director or officer or another position at another corporation or enterprise, as the case may be but only if (i) the indemnitee acted in good faith and, in the case of conduct in his official capacity, in a manner he reasonably believed to be in our best interests and, in all other cases, not opposed to our best interests and (ii) in the case of a criminal proceeding, the indemnitee must have had no reasonable cause to believe that his conduct was unlawful. The indemnification agreements also provide that we must advance payment of certain expenses to the indemnitee, including fees of counsel, subject to receipt of an undertaking from the indemnitee to return such advance if it is ultimately determined that the indemnitee is not entitled to indemnification.</w:t>
      </w:r>
    </w:p>
    <w:p>
      <w:pPr>
        <w:spacing w:after="0" w:line="192"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We believe that the limitation of liability provision in our amended and restated certificate of incorporation, our amended and restated bylaws and the indemnification agreements will facilitate our ability to continue to attract and retain qualified individuals to serve as directors and officers.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NYSE under the symbol “TRGP.”</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may offer depositary shares (either separately or together with other securities) representing fractional interests in our preferred stock of any series. In connection with the issuance of any depositary shares, we will enter into a depositary agreement with a bank or trust company, as depositary, which will be named in the applicable prospectus supplement. Depositary shares will be evidenced by depositary receipts issued pursuant to the related depositary agreement. If we elect to offer fractional interests in shares of preferred stock to the public, we will deposit the preferred stock with the relevant preferred stock depositary and will cause the preferred stock depositary to issue, on our behalf, the related depositary receipts. Subject to the terms of the depositary agreement, each owner of a depositary receipt will be entitled, in proportion to the fraction of a share of preferred stock represented by the related depositary share, to all the rights, preferences and privileges of, and will be subject to all of the limitations and restrictions on, the preferred stock represented by the depositary receipt (including, if applicable, dividend, voting, conversion, exchange redemption and liquidation rights).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80"/>
          </w:cols>
          <w:pgMar w:left="320" w:top="455"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may issue warrants for the purchase of our common stock. Warrants may be issued independently or together with our debt securities, preferred stock or common stock offered by any prospectus supplement and may be attached to or separate from any such offered securities. Each series of warrants will be issued under a separate warrant agreement to be entered into between us and a bank or trust company, as warrant agent, all as set forth in the prospectus supplement relating to the particular issue of warrants. The warrant agent will act solely as our agent in connection with the warrants and will not assume any obligation or relationship of agency or trust for or with any holders of warrants or beneficial owners of warrants. The following summary of certain provisions of the warrants does not purport to be complete and is subject to, and is qualified in its entirety by reference to, all provisions of the warrant agreements.</w:t>
      </w:r>
    </w:p>
    <w:p>
      <w:pPr>
        <w:spacing w:after="0" w:line="189"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You should refer to the prospectus supplement relating to a particular issue of warrants for the terms of and information relating to the warrants, including, where applicable:</w:t>
      </w:r>
    </w:p>
    <w:p>
      <w:pPr>
        <w:spacing w:after="0" w:line="67" w:lineRule="exact"/>
        <w:rPr>
          <w:sz w:val="20"/>
          <w:szCs w:val="20"/>
          <w:color w:val="auto"/>
        </w:rPr>
      </w:pPr>
    </w:p>
    <w:p>
      <w:pPr>
        <w:ind w:left="540" w:right="60" w:hanging="424"/>
        <w:spacing w:after="0" w:line="282"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purchasable upon exercise of the warrants and the price at which such number of shares of common stock may be purchased upon exercise of the warrants;</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commences and the date on which such right expires (the “Expiration Date”);</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federal income tax consequences applicable to the warrants;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warrants outstanding as of the most recent practicable date; and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w:t>
      </w:r>
    </w:p>
    <w:p>
      <w:pPr>
        <w:spacing w:after="0" w:line="225"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Warrants will be offered and exercisable for United States dollars only. Warrants will be issued in registered form only. Each warrant will entitle its holder to purchase such number of shares of common stock at such exercise price as is in each case set forth in, or calculable from, the prospectus supplement relating to the warrants. The exercise price may be subject to adjustment upon the occurrence of events described in such prospectus supplement. After the close of business on the Expiration Date (or such later date to which we may extend such Expiration Date), unexercised warrants will become void. The place or places where, and the manner in which, warrants may be exercised will be specified in the prospectus supplement relating to such warrants.</w:t>
      </w:r>
    </w:p>
    <w:p>
      <w:pPr>
        <w:spacing w:after="0" w:line="18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Prior to the exercise of any warrants, holders of the warrants will not have any of the rights of holders of common stock, including the right to receive payments of any dividends on the common stock purchasable upon exercise of the warrants, or to exercise any applicable right to vote.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60"/>
          </w:cols>
          <w:pgMar w:left="320" w:top="455" w:right="5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this prospectus, we intend to offer our securities to the public:</w:t>
      </w:r>
    </w:p>
    <w:p>
      <w:pPr>
        <w:spacing w:after="0" w:line="13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brokers, dealers or agents;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broker-dealers who may act as agent or may purchase securities as principal and thereafter resell the securities as principal from time to time;</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subsequent resale by such broker or dealer for its own account pursuant to this prospectus;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investors;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fix a price of our securities or will price our securities at:</w:t>
      </w:r>
    </w:p>
    <w:p>
      <w:pPr>
        <w:spacing w:after="0" w:line="13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any sale under this registration statement;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then-current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change the price of the securities offered from time to time.</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will pay or allow distributors’ or sellers’ commissions that will not exceed those customary in the types of transactions involved. Broker-dealers may act as agents or may purchase securities as principal and thereafter resell the securities from time to time:</w:t>
      </w:r>
    </w:p>
    <w:p>
      <w:pPr>
        <w:spacing w:after="0" w:line="67"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 through one or more transactions (which may involve cross transactions and block trades) or distributions;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NYSE;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 transactions.</w:t>
      </w:r>
    </w:p>
    <w:p>
      <w:pPr>
        <w:spacing w:after="0" w:line="225"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80"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prospectus supplement with respect to any offering of securities will set forth the terms of the offering, including: (i) the name or names of any underwriters; (ii) the purchase price of the securities and the proceeds to us from the sale; (iii) any underwriting discounts and commissions and other items constituting underwriters’ compensation; (iv) any delayed delivery arrangements; and (v) other important information.</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we use underwriters, we will enter into an underwriting agreement with such underwriters at the time of sale to them. We will set forth the names of these underwriters and the terms of the transaction in the prospectus supplement, which will be used by the underwriters to make resales of the securities in respect of which this prospectus is delivered to the public. We may indemnify underwriters, brokers, dealers and agents against specific liabilities, including liabilities under the Securities Act. Any underwriters, brokers, dealers and agents who participate in any sale of the securities may also engage in transactions with, or perform services for, us or our affiliates in the ordinary course of their businesses.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securities will be passed upon by Vinson &amp; Elkins L.L.P., Houston, Texas, as our counsel. Any underwriter or agent will be advised about other issues relating to any offering by its own legal counsel.</w:t>
      </w:r>
    </w:p>
    <w:p>
      <w:pPr>
        <w:spacing w:after="0" w:line="37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2024 have been so incorporated in reliance on the report of PricewaterhouseCoopers LLP, an independent registered public accounting firm, given on the authority of said firm as experts in auditing and accounting.</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320" w:top="455" w:right="5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i w:val="1"/>
          <w:iCs w:val="1"/>
          <w:color w:val="auto"/>
        </w:rPr>
        <w:t>Other Expenses of Issuance and Distribution</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Set forth below are the expenses (other than underwriting discounts and commissions) expected to be incurred in connection with the issuance and distribution of the securities registered hereby:</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Securities and Exchange Commission registration fee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Trustee fees and expenses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7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deferring payment of the registration fee in reliance on Rule 456(b) and Rule 457(r).</w:t>
      </w:r>
    </w:p>
    <w:p>
      <w:pPr>
        <w:spacing w:after="0" w:line="27" w:lineRule="exact"/>
        <w:rPr>
          <w:sz w:val="20"/>
          <w:szCs w:val="20"/>
          <w:color w:val="auto"/>
        </w:rPr>
      </w:pPr>
    </w:p>
    <w:p>
      <w:pPr>
        <w:ind w:left="540" w:hanging="424"/>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number of issuances and amount of securities offered and accordingly cannot be estimated at this time.</w:t>
      </w:r>
    </w:p>
    <w:p>
      <w:pPr>
        <w:spacing w:after="0" w:line="351"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i w:val="1"/>
          <w:iCs w:val="1"/>
          <w:color w:val="auto"/>
        </w:rPr>
        <w:t>Indemnification of Directors and Officers</w:t>
      </w:r>
    </w:p>
    <w:p>
      <w:pPr>
        <w:spacing w:after="0" w:line="121" w:lineRule="exact"/>
        <w:rPr>
          <w:sz w:val="20"/>
          <w:szCs w:val="20"/>
          <w:color w:val="auto"/>
        </w:rPr>
      </w:pPr>
    </w:p>
    <w:p>
      <w:pPr>
        <w:ind w:left="120" w:right="200"/>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a director will not be liable to the corporation or its stockholders for monetary damages for breach of fiduciary duty as a director, except for liability (1) for any breach of the director’s duty of loyalty to the corporation or its stockholders, (2) for acts or omissions not in good faith or which involved intentional misconduct or a knowing violation of the law, (3) under section 174 of the DGCL for unlawful payment of dividends or improper redemption of stock or (4) for any transaction from which the director derived an improper personal benefit. In addition, if the DGCL is amended to authorize the further elimination or limitation of the liability of directors, then the liability of a director of the corporation, in addition to the limitation on personal liability provided for in our amended and restated certificate of incorporation, will be limited to the fullest extent permitted by the amended DGCL. Further, our amended and restated bylaws provide that the corporation will indemnify, and advance expenses to, any officer or director to the fullest extent authorized by the DGCL.</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Section 145 of the DGCL provides that a corporation may indemnify directors and officers as well as other employees and individuals against expenses, including attorneys’ fees, judgments, fines and amounts paid in settlement in connection with specified actions, suits and proceedings whether civil, criminal, administrative, or investigative, other than a derivative action by or in the right of the corporation,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extends only to expenses, including attorneys’ fees, incurred in connection with the defense or settlement of such action and the statute requires court approval before there can be any indemnification where the person seeking indemnification has been found liable to the corporation. The statute provides that it is not exclusive of other indemnification that may be granted by a corporation’s certificate of incorporation, bylaws, disinterested director vote, stockholder vote, agreement or otherwise.</w:t>
      </w:r>
    </w:p>
    <w:p>
      <w:pPr>
        <w:spacing w:after="0" w:line="188" w:lineRule="exact"/>
        <w:rPr>
          <w:sz w:val="20"/>
          <w:szCs w:val="20"/>
          <w:color w:val="auto"/>
        </w:rPr>
      </w:pPr>
    </w:p>
    <w:p>
      <w:pPr>
        <w:ind w:left="120" w:right="40"/>
        <w:spacing w:after="0" w:line="276" w:lineRule="auto"/>
        <w:rPr>
          <w:sz w:val="20"/>
          <w:szCs w:val="20"/>
          <w:color w:val="auto"/>
        </w:rPr>
      </w:pPr>
      <w:r>
        <w:rPr>
          <w:rFonts w:ascii="Times New Roman" w:cs="Times New Roman" w:eastAsia="Times New Roman" w:hAnsi="Times New Roman"/>
          <w:sz w:val="17"/>
          <w:szCs w:val="17"/>
          <w:color w:val="auto"/>
        </w:rPr>
        <w:t>The limited liability company agreement, limited partnership agreement or bylaws, as applicable, of each of our subsidiary guarantors provides for the indemnification of (i) present or former members of the board of directors or managers of the applicable subsidiary guarantor or any committee thereof,</w:t>
      </w:r>
    </w:p>
    <w:p>
      <w:pPr>
        <w:spacing w:after="0" w:line="1" w:lineRule="exact"/>
        <w:rPr>
          <w:sz w:val="20"/>
          <w:szCs w:val="20"/>
          <w:color w:val="auto"/>
        </w:rPr>
      </w:pPr>
    </w:p>
    <w:p>
      <w:pPr>
        <w:ind w:left="5480" w:right="1100" w:hanging="5364"/>
        <w:spacing w:after="0" w:line="433" w:lineRule="auto"/>
        <w:tabs>
          <w:tab w:leader="none" w:pos="37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or former officers, employees, partners, agents or trustees of the applicable subsidiary guarantor or (iii) persons serving at the II-1</w:t>
      </w:r>
    </w:p>
    <w:p>
      <w:pPr>
        <w:sectPr>
          <w:pgSz w:w="11900" w:h="16838" w:orient="portrait"/>
          <w:cols w:equalWidth="0" w:num="1">
            <w:col w:w="11080"/>
          </w:cols>
          <w:pgMar w:left="320" w:top="455"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request of the applicable subsidiary guarantor in another entity in a similar capacity as that referred to in the immediately preceding clauses (i) or (ii) (each, a “Subsidiary Indemnitee”) to the fullest extent permitted by law, from and against any and all losses, claims, damages, liabilities, joint or several, expenses (including reasonable legal fees and expenses), judgments, fines, penalties, interest, settlements and other amounts arising from any and all claims, demands, actions, suits or proceedings, whether civil, criminal, administrative or investigative, in which any such person may be involved, or is threatened to be involved, as a party or otherwise, by reason of such person’s status as a Subsidiary Indemnitee; provided, that in each case the Subsidiary Indemnitee acted in good faith and in a manner that such Subsidiary Indemnitee believed to be in, or not opposed to, the best interests of the applicable subsidiary guarantor and, with respect to any criminal proceeding, had no reasonable cause to believe such Subsidiary Indemnitee’s conduct was unlawful. The termination of any action, suit or proceeding by judgment, order, settlement, conviction or upon a plea of nolo contendere, or its equivalent, shall not create a presumption that the Subsidiary Indemnitee acted in a manner contrary to that specified above. Any indemnification pursuant to these provisions shall be made only out of the assets of the applicable subsidiary guarantor. Each subsidiary guarantor is authorized to purchase and maintain insurance, on behalf of the members of its respective board of directors or managers, as the case may be, its officers and such other persons as its respective board of directors or managers, as the case may be, may determine, against any liability that may be asserted against or expense that may be incurred by such person in connection with the activities of the applicable subsidiary guarantor, regardless of whether the applicable subsidiary guarantor would have the power to indemnify such person against such liability under the provisions of its limited liability company agreement, limited partnership agreement or bylaws, as applicable.</w:t>
      </w:r>
    </w:p>
    <w:p>
      <w:pPr>
        <w:spacing w:after="0" w:line="19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Each of Section 17-108 of the Delaware Limited Partnership Act and Section 18-108 of the Delaware Limited Liability Company Act, respectively, provides that, subject to such standards and restrictions, if any, as are set forth in the governing document of a Delaware entity, such Delaware entity may, and has the power to, indemnify and hold harmless any partner, or member or manager, as applicable, or other person from and against any and all claims and demands whatsoever.</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have entered into Indemnification Agreements (each, an “Indemnification Agreement”) with each director and officer of Targa Resources Corp. (each, an “Indemnitee”). Each Indemnification Agreement provides that we will indemnify and hold harmless each Indemnitee for Expenses (as defined in the Indemnification Agreement) to the fullest extent permitted or authorized by law in effect on the date of the agreement or as it may be amended to provide more advantageous rights to the Indemnitee. If such indemnification is unavailable as a result of a court decision and if we and the Indemnitee are jointly liable in the proceeding, we will contribute funds to the Indemnitee for his Expenses in proportion to relative benefit and fault of us and the Indemnitee in the transaction giving rise to the proceeding.</w:t>
      </w:r>
    </w:p>
    <w:p>
      <w:pPr>
        <w:spacing w:after="0" w:line="18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Each Indemnification Agreement also provides that we will indemnify the Indemnitee for monetary damages for actions taken as a director or officer of us, or for serving at our request as a director or officer or another position at another corporation or enterprise, as the case may be but only if (i) the Indemnitee acted in good faith and, in the case of conduct in his official capacity, in a manner he reasonably believed to be in the best interests of us and, in all other cases, not opposed to the best interests of us and (ii) in the case of a criminal proceeding, the Indemnitee must have had no reasonable cause to believe that his conduct was unlawful. The Indemnification Agreement also provides that we must advance payment of certain Expenses to the Indemnitee, including fees of counsel, subject to receipt of an undertaking from the Indemnitee to return such advance if it is ultimately determined that the Indemnitee is not entitled to indemnification.</w:t>
      </w:r>
    </w:p>
    <w:p>
      <w:pPr>
        <w:spacing w:after="0" w:line="333"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i w:val="1"/>
          <w:iCs w:val="1"/>
          <w:color w:val="auto"/>
        </w:rPr>
        <w:t>Exhibits and Financial Statement Schedules</w:t>
      </w:r>
    </w:p>
    <w:p>
      <w:pPr>
        <w:spacing w:after="0" w:line="119" w:lineRule="exact"/>
        <w:rPr>
          <w:sz w:val="20"/>
          <w:szCs w:val="20"/>
          <w:color w:val="auto"/>
        </w:rPr>
      </w:pPr>
    </w:p>
    <w:p>
      <w:pPr>
        <w:ind w:left="360" w:hanging="244"/>
        <w:spacing w:after="0"/>
        <w:tabs>
          <w:tab w:leader="none" w:pos="3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1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exhibits listed on the accompanying Exhibit Index are filed or incorporated by reference as part of this Registration Statement, and such Exhibit Index is incorporated herein by reference.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i w:val="1"/>
          <w:iCs w:val="1"/>
          <w:color w:val="auto"/>
        </w:rPr>
        <w:t>Undertakings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31" w:lineRule="exact"/>
        <w:rPr>
          <w:sz w:val="20"/>
          <w:szCs w:val="20"/>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(the “Securities Act”);</w:t>
      </w:r>
    </w:p>
    <w:p>
      <w:pPr>
        <w:spacing w:after="0" w:line="130" w:lineRule="exact"/>
        <w:rPr>
          <w:rFonts w:ascii="Times New Roman" w:cs="Times New Roman" w:eastAsia="Times New Roman" w:hAnsi="Times New Roman"/>
          <w:sz w:val="18"/>
          <w:szCs w:val="18"/>
          <w:color w:val="auto"/>
        </w:rPr>
      </w:pPr>
    </w:p>
    <w:p>
      <w:pPr>
        <w:ind w:left="1080" w:hanging="532"/>
        <w:spacing w:after="0" w:line="255" w:lineRule="auto"/>
        <w:tabs>
          <w:tab w:leader="none" w:pos="10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(1)(i), (1)(ii) and (1)(iii) above do not apply if the registration statement is on Form S-3 and the information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included in a post-effective amendment by those paragraphs is contained in reports filed with or furnished to the Commission by the registrant pursuant to section 13 or section 15(d) of the Securities Exchange Act of 1934 (the “Exchange Act”) that are incorporated by reference in the registration statement, or is contained in a form of prospectus filed pursuant to Rule 424(b) that is part of the registration statement.</w:t>
      </w:r>
    </w:p>
    <w:p>
      <w:pPr>
        <w:spacing w:after="0" w:line="87" w:lineRule="exact"/>
        <w:rPr>
          <w:sz w:val="20"/>
          <w:szCs w:val="20"/>
          <w:color w:val="auto"/>
        </w:rPr>
      </w:pPr>
    </w:p>
    <w:p>
      <w:pPr>
        <w:ind w:left="540" w:right="40" w:hanging="424"/>
        <w:spacing w:after="0" w:line="266"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30"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1080" w:hanging="532"/>
        <w:spacing w:after="0" w:line="253" w:lineRule="auto"/>
        <w:tabs>
          <w:tab w:leader="none" w:pos="10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prospectus that was part of the registration statement or made in any such document immediately prior to such effective date.</w:t>
      </w:r>
    </w:p>
    <w:p>
      <w:pPr>
        <w:spacing w:after="0" w:line="131" w:lineRule="exact"/>
        <w:rPr>
          <w:sz w:val="20"/>
          <w:szCs w:val="20"/>
          <w:color w:val="auto"/>
        </w:rPr>
      </w:pPr>
    </w:p>
    <w:p>
      <w:pPr>
        <w:ind w:left="540" w:hanging="424"/>
        <w:spacing w:after="0" w:line="258"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30"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540" w:right="100" w:hanging="424"/>
        <w:spacing w:after="0" w:line="261"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5" w:lineRule="exact"/>
        <w:rPr>
          <w:rFonts w:ascii="Times New Roman" w:cs="Times New Roman" w:eastAsia="Times New Roman" w:hAnsi="Times New Roman"/>
          <w:sz w:val="18"/>
          <w:szCs w:val="18"/>
          <w:color w:val="auto"/>
        </w:rPr>
      </w:pPr>
    </w:p>
    <w:p>
      <w:pPr>
        <w:ind w:left="540" w:right="220" w:hanging="424"/>
        <w:spacing w:after="0" w:line="254"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300" w:type="dxa"/>
            <w:vAlign w:val="bottom"/>
            <w:gridSpan w:val="21"/>
          </w:tcPr>
          <w:p>
            <w:pPr>
              <w:ind w:left="2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2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720" w:type="dxa"/>
            <w:vAlign w:val="bottom"/>
            <w:gridSpan w:val="20"/>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40" w:type="dxa"/>
            <w:vAlign w:val="bottom"/>
            <w:vMerge w:val="continue"/>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720" w:type="dxa"/>
            <w:vAlign w:val="bottom"/>
            <w:tcBorders>
              <w:bottom w:val="single" w:sz="8" w:color="auto"/>
            </w:tcBorders>
            <w:gridSpan w:val="2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1.1**</w:t>
            </w: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28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23"/>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Amended and Restated Certificate of Incorporation of Targa Resources Corp. (incorporated by reference to Exhibit 3.1 to Targa</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1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Resources Corp.’s Current Report on Form 8-K filed December 16, 2010 (File No. 001-34991)).</w:t>
              </w:r>
            </w:hyperlink>
          </w:p>
        </w:tc>
        <w:tc>
          <w:tcPr>
            <w:tcW w:w="3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Certificate of Amendment to the Amended and Restated Certificate of Incorporation of Targa Resources Corp. (incorporated by</w:t>
              </w:r>
            </w:hyperlink>
          </w:p>
        </w:tc>
        <w:tc>
          <w:tcPr>
            <w:tcW w:w="3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9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reference to Exhibit 3.1 to Targa Resources Corp.’s Current Report on Form 8-K filed May 26, 2021 (File No. 001-34991)).</w:t>
              </w:r>
            </w:hyperlink>
          </w:p>
        </w:tc>
        <w:tc>
          <w:tcPr>
            <w:tcW w:w="5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3.3</w:t>
            </w: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3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Certificate of Designations of Series A Preferred Stock of Targa Resources Corp., filed with the Secretary of State of the State of</w:t>
              </w:r>
            </w:hyperlink>
          </w:p>
        </w:tc>
        <w:tc>
          <w:tcPr>
            <w:tcW w:w="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500" w:type="dxa"/>
            <w:vAlign w:val="bottom"/>
            <w:gridSpan w:val="23"/>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Delaware on March 16, 2016 (incorporated by reference to Exhibit 3.1 to Targa Resources Corp.’s Current Report on Form 8-K/A</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36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filed March 17, 2016 (File No. 001-34991)).</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3.4</w:t>
            </w: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9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Third Amended and Restated Bylaws of Targa Resources Corp. (incorporated by reference to Exhibit 3.1 to Targa Resources</w:t>
              </w:r>
            </w:hyperlink>
          </w:p>
        </w:tc>
        <w:tc>
          <w:tcPr>
            <w:tcW w:w="5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1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Corp.’s Current Report on Form 8-K filed December 12, 2023 (File No. 001-34991)).</w:t>
              </w:r>
            </w:hyperlink>
          </w:p>
        </w:tc>
        <w:tc>
          <w:tcPr>
            <w:tcW w:w="33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23"/>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Specimen Common Stock Certificate (incorporated by reference to Exhibit 4.1 to Targa Resources Corp.’s Registration Statement</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7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on Form S-1/A filed November 12, 2010 (File No. 333-169277)).</w:t>
              </w:r>
            </w:hyperlink>
          </w:p>
        </w:tc>
        <w:tc>
          <w:tcPr>
            <w:tcW w:w="4620" w:type="dxa"/>
            <w:vAlign w:val="bottom"/>
            <w:tcBorders>
              <w:top w:val="single" w:sz="8" w:color="0000EE"/>
            </w:tcBorders>
            <w:gridSpan w:val="16"/>
          </w:tcPr>
          <w:p>
            <w:pPr>
              <w:spacing w:after="0"/>
              <w:rPr>
                <w:sz w:val="17"/>
                <w:szCs w:val="17"/>
                <w:color w:val="auto"/>
              </w:rPr>
            </w:pPr>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Registration Rights Agreement, dated March 16, 2016, by and among Targa Resources Corp. and the purchasers named on</w:t>
              </w:r>
            </w:hyperlink>
          </w:p>
        </w:tc>
        <w:tc>
          <w:tcPr>
            <w:tcW w:w="6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Schedule A thereto (incorporated by reference to Exhibit 4.2 to Targa Resources Corp.’s Current Report on Form 8-K/A filed</w:t>
              </w:r>
            </w:hyperlink>
          </w:p>
        </w:tc>
        <w:tc>
          <w:tcPr>
            <w:tcW w:w="4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500" w:type="dxa"/>
            <w:vAlign w:val="bottom"/>
            <w:gridSpan w:val="23"/>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March 17, 2016 (File No. 001-34991)).</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7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Amendment No. 1 to the Registration Rights Agreement dated March 16, 2016, dated September 13, 2016, among Targa</w:t>
              </w:r>
            </w:hyperlink>
          </w:p>
        </w:tc>
        <w:tc>
          <w:tcPr>
            <w:tcW w:w="7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1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Resources Corp. and Stonepeak Target Holdings, LP and Stonepeak Target Upper Holdings LLC (incorporated by reference to</w:t>
              </w:r>
            </w:hyperlink>
          </w:p>
        </w:tc>
        <w:tc>
          <w:tcPr>
            <w:tcW w:w="3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500" w:type="dxa"/>
            <w:vAlign w:val="bottom"/>
            <w:gridSpan w:val="23"/>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Exhibit 4.2 to Targa Resources Corp.’s Quarterly Report on Form 10-Q filed November 4, 2016 (File No. 001-34991)).</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426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23"/>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Description of Securities Registered Under Section 12 of the Exchange Act (incorporated by reference to Exhibit 4.4 to Targa</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Resources Corp.’s Annual Report on Form 10-K for the year ended December 31, 2024 (File No. 001-34991)).</w:t>
              </w:r>
            </w:hyperlink>
          </w:p>
        </w:tc>
        <w:tc>
          <w:tcPr>
            <w:tcW w:w="1040" w:type="dxa"/>
            <w:vAlign w:val="bottom"/>
            <w:tcBorders>
              <w:top w:val="single" w:sz="8" w:color="0000EE"/>
            </w:tcBorders>
            <w:gridSpan w:val="7"/>
          </w:tcPr>
          <w:p>
            <w:pPr>
              <w:spacing w:after="0"/>
              <w:rPr>
                <w:sz w:val="17"/>
                <w:szCs w:val="17"/>
                <w:color w:val="auto"/>
              </w:rPr>
            </w:pPr>
          </w:p>
        </w:tc>
        <w:tc>
          <w:tcPr>
            <w:tcW w:w="4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Indenture, dated as of April 6, 2022, among Targa Resources Corp., as issuer, the guarantors named therein and U.S. Bank Trust</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500" w:type="dxa"/>
            <w:vAlign w:val="bottom"/>
            <w:gridSpan w:val="23"/>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Company, National Association, as trustee (incorporated by reference to Exhibit 4.1 to Targa Resources Corp.’s Current Report on</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38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Form 8-K filed April 6, 2022 (File No. 001-34991)).</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Form of Notes.</w:t>
            </w:r>
          </w:p>
        </w:tc>
        <w:tc>
          <w:tcPr>
            <w:tcW w:w="572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00" w:hanging="84"/>
        <w:spacing w:after="0"/>
        <w:tabs>
          <w:tab w:leader="none" w:pos="2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4.7**  —</w:t>
      </w:r>
      <w:r>
        <w:rPr>
          <w:rFonts w:ascii="Times New Roman" w:cs="Times New Roman" w:eastAsia="Times New Roman" w:hAnsi="Times New Roman"/>
          <w:sz w:val="18"/>
          <w:szCs w:val="18"/>
          <w:color w:val="auto"/>
        </w:rPr>
        <w:t>Form of Preferred Stock Designation.</w:t>
      </w:r>
    </w:p>
    <w:p>
      <w:pPr>
        <w:spacing w:after="0" w:line="117"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4.8**  —</w:t>
      </w:r>
      <w:r>
        <w:rPr>
          <w:rFonts w:ascii="Times New Roman" w:cs="Times New Roman" w:eastAsia="Times New Roman" w:hAnsi="Times New Roman"/>
          <w:sz w:val="17"/>
          <w:szCs w:val="17"/>
          <w:color w:val="auto"/>
        </w:rPr>
        <w:t>Form of Warrant Agreement.</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4.9**  —</w:t>
      </w:r>
      <w:r>
        <w:rPr>
          <w:rFonts w:ascii="Times New Roman" w:cs="Times New Roman" w:eastAsia="Times New Roman" w:hAnsi="Times New Roman"/>
          <w:sz w:val="17"/>
          <w:szCs w:val="17"/>
          <w:color w:val="auto"/>
        </w:rPr>
        <w:t>Form of Deposit Agreement.</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4.10** —</w:t>
      </w:r>
      <w:r>
        <w:rPr>
          <w:rFonts w:ascii="Times New Roman" w:cs="Times New Roman" w:eastAsia="Times New Roman" w:hAnsi="Times New Roman"/>
          <w:sz w:val="17"/>
          <w:szCs w:val="17"/>
          <w:color w:val="auto"/>
        </w:rPr>
        <w:t>Form of Unit Agreement (including Form of Unit).</w:t>
      </w:r>
    </w:p>
    <w:p>
      <w:pPr>
        <w:spacing w:after="0" w:line="129" w:lineRule="exact"/>
        <w:rPr>
          <w:sz w:val="20"/>
          <w:szCs w:val="20"/>
          <w:color w:val="auto"/>
        </w:rPr>
      </w:pPr>
    </w:p>
    <w:p>
      <w:pPr>
        <w:ind w:left="120"/>
        <w:spacing w:after="0"/>
        <w:tabs>
          <w:tab w:leader="none" w:pos="860" w:val="left"/>
          <w:tab w:leader="none" w:pos="1620" w:val="left"/>
        </w:tabs>
        <w:rPr>
          <w:sz w:val="20"/>
          <w:szCs w:val="20"/>
          <w:color w:val="auto"/>
        </w:rPr>
      </w:pPr>
      <w:r>
        <w:rPr>
          <w:rFonts w:ascii="Times New Roman" w:cs="Times New Roman" w:eastAsia="Times New Roman" w:hAnsi="Times New Roman"/>
          <w:sz w:val="18"/>
          <w:szCs w:val="18"/>
          <w:color w:val="auto"/>
        </w:rPr>
        <w:t>    5.1*</w:t>
        <w:tab/>
        <w:t>—</w:t>
      </w:r>
      <w:r>
        <w:rPr>
          <w:sz w:val="20"/>
          <w:szCs w:val="20"/>
          <w:color w:val="auto"/>
        </w:rPr>
        <w:tab/>
      </w:r>
      <w:r>
        <w:rPr>
          <w:rFonts w:ascii="Times New Roman" w:cs="Times New Roman" w:eastAsia="Times New Roman" w:hAnsi="Times New Roman"/>
          <w:sz w:val="17"/>
          <w:szCs w:val="17"/>
          <w:u w:val="single" w:color="auto"/>
          <w:color w:val="0000EE"/>
        </w:rPr>
        <w:t>Opinion of Vinson &amp; Elkins L.L.P. as to the legality of the securities registered hereby.</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7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3980" w:type="dxa"/>
            <w:vAlign w:val="bottom"/>
          </w:tcPr>
          <w:p>
            <w:pPr>
              <w:spacing w:after="0"/>
              <w:rPr>
                <w:sz w:val="13"/>
                <w:szCs w:val="13"/>
                <w:color w:val="auto"/>
              </w:rPr>
            </w:pPr>
          </w:p>
        </w:tc>
        <w:tc>
          <w:tcPr>
            <w:tcW w:w="57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vMerge w:val="continue"/>
          </w:tcPr>
          <w:p>
            <w:pPr>
              <w:spacing w:after="0"/>
              <w:rPr>
                <w:sz w:val="15"/>
                <w:szCs w:val="15"/>
                <w:color w:val="auto"/>
              </w:rPr>
            </w:pPr>
          </w:p>
        </w:tc>
        <w:tc>
          <w:tcPr>
            <w:tcW w:w="3980" w:type="dxa"/>
            <w:vAlign w:val="bottom"/>
            <w:tcBorders>
              <w:bottom w:val="single" w:sz="8" w:color="auto"/>
            </w:tcBorders>
          </w:tcPr>
          <w:p>
            <w:pPr>
              <w:spacing w:after="0"/>
              <w:rPr>
                <w:sz w:val="15"/>
                <w:szCs w:val="15"/>
                <w:color w:val="auto"/>
              </w:rPr>
            </w:pPr>
          </w:p>
        </w:tc>
        <w:tc>
          <w:tcPr>
            <w:tcW w:w="57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21.1</w:t>
            </w: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1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List of Significant Subsidiaries of Targa Resources Corp (incorporated by reference to Exhibit 21.1 to Targa Resources Corp.’s</w:t>
              </w:r>
            </w:hyperlink>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00" w:type="dxa"/>
            <w:vAlign w:val="bottom"/>
            <w:gridSpan w:val="3"/>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Annual Report on Form 10-K filed February 20, 2025).</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80" w:type="dxa"/>
            <w:vAlign w:val="bottom"/>
            <w:shd w:val="clear" w:color="auto" w:fill="0000EE"/>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00" w:hanging="84"/>
        <w:spacing w:after="0"/>
        <w:tabs>
          <w:tab w:leader="none" w:pos="2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23.1*  —</w:t>
      </w:r>
      <w:r>
        <w:rPr>
          <w:rFonts w:ascii="Times New Roman" w:cs="Times New Roman" w:eastAsia="Times New Roman" w:hAnsi="Times New Roman"/>
          <w:sz w:val="17"/>
          <w:szCs w:val="17"/>
          <w:u w:val="single" w:color="auto"/>
          <w:color w:val="0000EE"/>
        </w:rPr>
        <w:t>Consent of PricewaterhouseCoopers LLP.</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23.2*  —</w:t>
      </w:r>
      <w:r>
        <w:rPr>
          <w:rFonts w:ascii="Times New Roman" w:cs="Times New Roman" w:eastAsia="Times New Roman" w:hAnsi="Times New Roman"/>
          <w:sz w:val="17"/>
          <w:szCs w:val="17"/>
          <w:u w:val="single" w:color="auto"/>
          <w:color w:val="0000EE"/>
        </w:rPr>
        <w:t>Consent of Vinson &amp; Elkins L.L.P. (contained in Exhibit 5.1).</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24.1*  —</w:t>
      </w:r>
      <w:r>
        <w:rPr>
          <w:rFonts w:ascii="Times New Roman" w:cs="Times New Roman" w:eastAsia="Times New Roman" w:hAnsi="Times New Roman"/>
          <w:sz w:val="18"/>
          <w:szCs w:val="18"/>
          <w:u w:val="single" w:color="auto"/>
          <w:color w:val="0000EE"/>
        </w:rPr>
        <w:t>Powers of Attorney (included on the signature pages of this Registration Statement).</w:t>
      </w:r>
    </w:p>
    <w:p>
      <w:pPr>
        <w:spacing w:after="0" w:line="117"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25.1*  —</w:t>
      </w:r>
      <w:r>
        <w:rPr>
          <w:rFonts w:ascii="Times New Roman" w:cs="Times New Roman" w:eastAsia="Times New Roman" w:hAnsi="Times New Roman"/>
          <w:sz w:val="17"/>
          <w:szCs w:val="17"/>
          <w:u w:val="single" w:color="auto"/>
          <w:color w:val="0000EE"/>
        </w:rPr>
        <w:t>Form T-1 Statement of Eligibility and Qualification respecting the Indenture.</w:t>
      </w:r>
    </w:p>
    <w:p>
      <w:pPr>
        <w:spacing w:after="0" w:line="129" w:lineRule="exact"/>
        <w:rPr>
          <w:sz w:val="20"/>
          <w:szCs w:val="20"/>
          <w:color w:val="auto"/>
        </w:rPr>
      </w:pPr>
    </w:p>
    <w:p>
      <w:pPr>
        <w:ind w:left="120"/>
        <w:spacing w:after="0"/>
        <w:tabs>
          <w:tab w:leader="none" w:pos="780" w:val="left"/>
          <w:tab w:leader="none" w:pos="1420" w:val="left"/>
        </w:tabs>
        <w:rPr>
          <w:sz w:val="20"/>
          <w:szCs w:val="20"/>
          <w:color w:val="auto"/>
        </w:rPr>
      </w:pPr>
      <w:r>
        <w:rPr>
          <w:rFonts w:ascii="Times New Roman" w:cs="Times New Roman" w:eastAsia="Times New Roman" w:hAnsi="Times New Roman"/>
          <w:sz w:val="18"/>
          <w:szCs w:val="18"/>
          <w:color w:val="auto"/>
        </w:rPr>
        <w:t>   107*</w:t>
        <w:tab/>
        <w:t>—</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40" w:right="240" w:hanging="424"/>
        <w:spacing w:after="0" w:line="260"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as an exhibit to a report pursuant to Section 13(a) or 15(d) of the Exchange Act or in a post-effective amendment to this Registration Statement.</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Houston, in the State of Texas, on March 21, 2025.</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TARGA RESOURCES CORP.</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A. Byers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William A. Byers</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220"/>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hereby constitutes and appoints Matthew J. Meloy, Jennifer R. Kneale and William A. Byers, and each of them, his or her true and lawful attorneys-in-fact and agents, with full power of substitution and resubstitution, for him or her and in his or her name, place and stead, in any and all capacities, to sign any and all amendments to this registration statement (including pre and post-effective amendments and registration statements filed pursuant to Rule 462 or otherwise) and to file the same, with all exhibits thereto, and the other documents in connection therewith, with the U.S. Securities and Exchange Commission, and hereby grants to such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their substitute or substitutes, may lawfully do or cause to be done by virtue hereof.</w:t>
      </w:r>
    </w:p>
    <w:p>
      <w:pPr>
        <w:spacing w:after="0" w:line="19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on March 21, 2025 by the following persons in the capacities: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5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12"/>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Matthew J. Meloy</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Director (Principal Executive Officer)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Matthew J. Meloy</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A. Byers</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William A. Byers</w:t>
            </w:r>
          </w:p>
        </w:tc>
        <w:tc>
          <w:tcPr>
            <w:tcW w:w="220" w:type="dxa"/>
            <w:vAlign w:val="bottom"/>
          </w:tcPr>
          <w:p>
            <w:pPr>
              <w:spacing w:after="0"/>
              <w:rPr>
                <w:sz w:val="19"/>
                <w:szCs w:val="19"/>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 Christopher Eklof</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and Chief Accounting Officer (Principal Accounting</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 Christopher Eklof</w:t>
            </w:r>
          </w:p>
        </w:tc>
        <w:tc>
          <w:tcPr>
            <w:tcW w:w="220" w:type="dxa"/>
            <w:vAlign w:val="bottom"/>
          </w:tcPr>
          <w:p>
            <w:pPr>
              <w:spacing w:after="0"/>
              <w:rPr>
                <w:sz w:val="19"/>
                <w:szCs w:val="19"/>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Officer)</w:t>
            </w: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 W. Chung</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and 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Paul W. Chung</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Beth A. Bowman</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Beth A. Bowman</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Lindsey M. Cooksen</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Lindsey M. Cooksen</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360"/>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II-7</w:t>
            </w:r>
          </w:p>
        </w:tc>
      </w:tr>
    </w:tbl>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5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12"/>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R. Crisp</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Charles R. Crisp</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Waters S. Davis, IV</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Waters S. Davis, IV</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Laura C. Fulton</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Laura C. Fulton</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Rene R. Joyce</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Rene R. Joyce</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Caron A. Lawhorn</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Caron A. Lawhorn</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Joe Bob Perkins</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Joe Bob Perkins</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 Keith Teague</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 Keith Teague</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360"/>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II-8</w:t>
            </w:r>
          </w:p>
        </w:tc>
      </w:tr>
    </w:tbl>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each registrant below certifies that it has reasonable grounds to believe that it meets all of the requirements for filing on Form S-3 and has duly caused this Registration Statement to be signed on its behalf by the undersigned, thereunto duly authorized, in the City of Houston, in the State of Texas, on March 21, 2025.</w:t>
      </w:r>
    </w:p>
    <w:p>
      <w:pPr>
        <w:spacing w:after="0" w:line="3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TARGA ENERGY GP LLC</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TARGA GP INC.</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TARGA LP INC.</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TARGA RESOURCES FINANCE CORPORATION</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TARGA RESOURCES GP LLC</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TARGA RESOURCES LLC</w:t>
      </w:r>
    </w:p>
    <w:p>
      <w:pPr>
        <w:spacing w:after="0" w:line="220"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A. Byers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William A. Byers</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3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II-9</w:t>
      </w:r>
    </w:p>
    <w:p>
      <w:pPr>
        <w:sectPr>
          <w:pgSz w:w="11900" w:h="16838" w:orient="portrait"/>
          <w:cols w:equalWidth="0" w:num="1">
            <w:col w:w="10880"/>
          </w:cols>
          <w:pgMar w:left="320" w:top="455" w:right="6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220"/>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hereby constitutes and appoints Matthew J. Meloy, Jennifer R. Kneale and William A. Byers, and each of them, his or her true and lawful attorneys-in-fact and agents, with full power of substitution and resubstitution, for him or her and in his or her name, place and stead, in any and all capacities, to sign any and all amendments to this registration statement (including pre and post-effective amendments and registration statements filed pursuant to Rule 462 or otherwise) and to file the same, with all exhibits thereto, and the other documents in connection therewith, with the U.S. Securities and Exchange Commission, and hereby grants to such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their substitute or substitutes, may lawfully do or cause to be done by virtue hereof.</w:t>
      </w:r>
    </w:p>
    <w:p>
      <w:pPr>
        <w:spacing w:after="0" w:line="19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on March 21, 2025 by the following persons in the capacities: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5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12"/>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Matthew J. Meloy</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Matthew J. Meloy</w:t>
            </w:r>
          </w:p>
        </w:tc>
        <w:tc>
          <w:tcPr>
            <w:tcW w:w="220" w:type="dxa"/>
            <w:vAlign w:val="bottom"/>
          </w:tcPr>
          <w:p>
            <w:pPr>
              <w:spacing w:after="0"/>
              <w:rPr>
                <w:sz w:val="19"/>
                <w:szCs w:val="19"/>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A. Byers</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William A. Byers</w:t>
            </w:r>
          </w:p>
        </w:tc>
        <w:tc>
          <w:tcPr>
            <w:tcW w:w="220" w:type="dxa"/>
            <w:vAlign w:val="bottom"/>
          </w:tcPr>
          <w:p>
            <w:pPr>
              <w:spacing w:after="0"/>
              <w:rPr>
                <w:sz w:val="19"/>
                <w:szCs w:val="19"/>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 Christopher Eklof</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and Chief Accounting Officer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 Christopher Eklof</w:t>
            </w:r>
          </w:p>
        </w:tc>
        <w:tc>
          <w:tcPr>
            <w:tcW w:w="220" w:type="dxa"/>
            <w:vAlign w:val="bottom"/>
          </w:tcPr>
          <w:p>
            <w:pPr>
              <w:spacing w:after="0"/>
              <w:rPr>
                <w:sz w:val="19"/>
                <w:szCs w:val="19"/>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Jennifer R. Kneale</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or Manager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Jennifer R. Kneale</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Gerald R. Shrader</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or Manager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Gerald R. Shrader</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360"/>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II-10</w:t>
            </w:r>
          </w:p>
        </w:tc>
      </w:tr>
    </w:tbl>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each registrant below certifies that it has reasonable grounds to believe that it meets all of the requirements for filing on Form S-3 and has duly caused this Registration Statement to be signed on its behalf by the undersigned, thereunto duly authorized, in the City of Houston, in the State of Texas, on March 21, 2025.</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TARGA RESOURCES PARTNERS LP</w:t>
      </w:r>
    </w:p>
    <w:p>
      <w:pPr>
        <w:spacing w:after="0" w:line="1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Targa Resources GP LLC, its general partner</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A. Byers</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William A. Byers</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II-11</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220"/>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hereby constitutes and appoints Matthew J. Meloy, Jennifer R. Kneale and William A. Byers, and each of them, his or her true and lawful attorneys-in-fact and agents, with full power of substitution and resubstitution, for him or her and in his or her name, place and stead, in any and all capacities, to sign any and all amendments to this registration statement (including pre and post-effective amendments and registration statements filed pursuant to Rule 462 or otherwise) and to file the same, with all exhibits thereto, and the other documents in connection therewith, with the U.S. Securities and Exchange Commission, and hereby grants to such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their substitute or substitutes, may lawfully do or cause to be done by virtue hereof.</w:t>
      </w:r>
    </w:p>
    <w:p>
      <w:pPr>
        <w:spacing w:after="0" w:line="19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on March 21, 2025 by the following persons in the capacities: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5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12"/>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Matthew J. Meloy</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of the general partner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Matthew J. Meloy</w:t>
            </w:r>
          </w:p>
        </w:tc>
        <w:tc>
          <w:tcPr>
            <w:tcW w:w="220" w:type="dxa"/>
            <w:vAlign w:val="bottom"/>
          </w:tcPr>
          <w:p>
            <w:pPr>
              <w:spacing w:after="0"/>
              <w:rPr>
                <w:sz w:val="19"/>
                <w:szCs w:val="19"/>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A. Byers</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 of the general partner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William A. Byers</w:t>
            </w:r>
          </w:p>
        </w:tc>
        <w:tc>
          <w:tcPr>
            <w:tcW w:w="220" w:type="dxa"/>
            <w:vAlign w:val="bottom"/>
          </w:tcPr>
          <w:p>
            <w:pPr>
              <w:spacing w:after="0"/>
              <w:rPr>
                <w:sz w:val="19"/>
                <w:szCs w:val="19"/>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 Christopher Eklof</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and Chief Accounting Officer of the general partner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 Christopher Eklof</w:t>
            </w:r>
          </w:p>
        </w:tc>
        <w:tc>
          <w:tcPr>
            <w:tcW w:w="220" w:type="dxa"/>
            <w:vAlign w:val="bottom"/>
          </w:tcPr>
          <w:p>
            <w:pPr>
              <w:spacing w:after="0"/>
              <w:rPr>
                <w:sz w:val="19"/>
                <w:szCs w:val="19"/>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Jennifer R. Kneale</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of the general partner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Jennifer R. Kneale</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Gerald R. Shrader</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of the general partner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Gerald R. Shrader</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360"/>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II-12</w:t>
            </w:r>
          </w:p>
        </w:tc>
      </w:tr>
    </w:tbl>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each registrant below certifies that it has reasonable grounds to believe that it meets all of the requirements for filing on Form S-3 and has duly caused this Registration Statement to be signed on its behalf by the undersigned, thereunto duly authorized, in the City of Houston, in the State of Texas, on March 21, 2025.</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TARGA ENERGY LP</w:t>
      </w:r>
    </w:p>
    <w:p>
      <w:pPr>
        <w:spacing w:after="0" w:line="1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Targa Energy GP LLC, its general partner</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A. Byers</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William A. Byers</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II-13</w:t>
      </w:r>
    </w:p>
    <w:p>
      <w:pPr>
        <w:sectPr>
          <w:pgSz w:w="11900" w:h="16838" w:orient="portrait"/>
          <w:cols w:equalWidth="0" w:num="1">
            <w:col w:w="11140"/>
          </w:cols>
          <w:pgMar w:left="320" w:top="455"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220"/>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hereby constitutes and appoints Matthew J. Meloy, Jennifer R. Kneale and William A. Byers, and each of them, his or her true and lawful attorneys-in-fact and agents, with full power of substitution and resubstitution, for him or her and in his or her name, place and stead, in any and all capacities, to sign any and all amendments to this registration statement (including pre and post-effective amendments and registration statements filed pursuant to Rule 462 or otherwise) and to file the same, with all exhibits thereto, and the other documents in connection therewith, with the U.S. Securities and Exchange Commission, and hereby grants to such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their substitute or substitutes, may lawfully do or cause to be done by virtue hereof.</w:t>
      </w:r>
    </w:p>
    <w:p>
      <w:pPr>
        <w:spacing w:after="0" w:line="19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on March 21, 2025 by the following persons in the capacities: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5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12"/>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Matthew J. Meloy</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of the general partner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Matthew J. Meloy</w:t>
            </w:r>
          </w:p>
        </w:tc>
        <w:tc>
          <w:tcPr>
            <w:tcW w:w="220" w:type="dxa"/>
            <w:vAlign w:val="bottom"/>
          </w:tcPr>
          <w:p>
            <w:pPr>
              <w:spacing w:after="0"/>
              <w:rPr>
                <w:sz w:val="19"/>
                <w:szCs w:val="19"/>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A. Byers</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 of the general partner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William A. Byers</w:t>
            </w:r>
          </w:p>
        </w:tc>
        <w:tc>
          <w:tcPr>
            <w:tcW w:w="220" w:type="dxa"/>
            <w:vAlign w:val="bottom"/>
          </w:tcPr>
          <w:p>
            <w:pPr>
              <w:spacing w:after="0"/>
              <w:rPr>
                <w:sz w:val="19"/>
                <w:szCs w:val="19"/>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 Christopher Eklof</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and Chief Accounting Officer of the general partner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 Christopher Eklof</w:t>
            </w:r>
          </w:p>
        </w:tc>
        <w:tc>
          <w:tcPr>
            <w:tcW w:w="220" w:type="dxa"/>
            <w:vAlign w:val="bottom"/>
          </w:tcPr>
          <w:p>
            <w:pPr>
              <w:spacing w:after="0"/>
              <w:rPr>
                <w:sz w:val="19"/>
                <w:szCs w:val="19"/>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Jennifer R. Kneale</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of the general partner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Jennifer R. Kneale</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Gerald R. Shrader</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of the general partner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Gerald R. Shrader</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360"/>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II-14</w:t>
            </w:r>
          </w:p>
        </w:tc>
      </w:tr>
    </w:tbl>
    <w:p>
      <w:pPr>
        <w:sectPr>
          <w:pgSz w:w="11900" w:h="16838" w:orient="portrait"/>
          <w:cols w:equalWidth="0" w:num="1">
            <w:col w:w="11140"/>
          </w:cols>
          <w:pgMar w:left="320" w:top="455" w:right="4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97155</wp:posOffset>
            </wp:positionV>
            <wp:extent cx="1517015" cy="291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151701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Targa Resources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811 Louisiana, Suite 2100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 77002</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color w:val="auto"/>
        </w:rPr>
        <w:t>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We have acted as counsel for Targa Resources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certain of its subsidiaries with respect to certain legal matters in connection with the preparation and filing by the Company of a registration statement on Form S-3 (the “</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color w:val="auto"/>
        </w:rPr>
        <w:t>”), filed on or about the date hereof with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in connection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registration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of the offer and sale from time to time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of an indeterminate aggregate amount of the Company’s (i) debt securities, which may be either senior or subordinated and may be issued in one or more series, consisting of notes, debentures or other evidences of indebtedness (the “</w:t>
      </w:r>
      <w:r>
        <w:rPr>
          <w:rFonts w:ascii="Times New Roman" w:cs="Times New Roman" w:eastAsia="Times New Roman" w:hAnsi="Times New Roman"/>
          <w:sz w:val="18"/>
          <w:szCs w:val="18"/>
          <w:b w:val="1"/>
          <w:bCs w:val="1"/>
          <w:i w:val="1"/>
          <w:iCs w:val="1"/>
          <w:color w:val="auto"/>
        </w:rPr>
        <w:t>Debt Securities</w:t>
      </w:r>
      <w:r>
        <w:rPr>
          <w:rFonts w:ascii="Times New Roman" w:cs="Times New Roman" w:eastAsia="Times New Roman" w:hAnsi="Times New Roman"/>
          <w:sz w:val="18"/>
          <w:szCs w:val="18"/>
          <w:color w:val="auto"/>
        </w:rPr>
        <w:t>”) and which may be fully and unconditionally guaranteed (the “</w:t>
      </w:r>
      <w:r>
        <w:rPr>
          <w:rFonts w:ascii="Times New Roman" w:cs="Times New Roman" w:eastAsia="Times New Roman" w:hAnsi="Times New Roman"/>
          <w:sz w:val="18"/>
          <w:szCs w:val="18"/>
          <w:b w:val="1"/>
          <w:bCs w:val="1"/>
          <w:i w:val="1"/>
          <w:iCs w:val="1"/>
          <w:color w:val="auto"/>
        </w:rPr>
        <w:t>Guarantees</w:t>
      </w:r>
      <w:r>
        <w:rPr>
          <w:rFonts w:ascii="Times New Roman" w:cs="Times New Roman" w:eastAsia="Times New Roman" w:hAnsi="Times New Roman"/>
          <w:sz w:val="18"/>
          <w:szCs w:val="18"/>
          <w:color w:val="auto"/>
        </w:rPr>
        <w:t>”) by the Company’s subsidiaries listed as co-registrants in the Registration Statement (the “</w:t>
      </w:r>
      <w:r>
        <w:rPr>
          <w:rFonts w:ascii="Times New Roman" w:cs="Times New Roman" w:eastAsia="Times New Roman" w:hAnsi="Times New Roman"/>
          <w:sz w:val="18"/>
          <w:szCs w:val="18"/>
          <w:b w:val="1"/>
          <w:bCs w:val="1"/>
          <w:i w:val="1"/>
          <w:iCs w:val="1"/>
          <w:color w:val="auto"/>
        </w:rPr>
        <w:t>Subsidiary Guarantors</w:t>
      </w:r>
      <w:r>
        <w:rPr>
          <w:rFonts w:ascii="Times New Roman" w:cs="Times New Roman" w:eastAsia="Times New Roman" w:hAnsi="Times New Roman"/>
          <w:sz w:val="18"/>
          <w:szCs w:val="18"/>
          <w:color w:val="auto"/>
        </w:rPr>
        <w:t>”); (ii) shares of preferred stock, par value $0.001 per share, of the Company, in one or more series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which may be issued in the form of depositary shares evidenced by depositary receipts (the “</w:t>
      </w:r>
      <w:r>
        <w:rPr>
          <w:rFonts w:ascii="Times New Roman" w:cs="Times New Roman" w:eastAsia="Times New Roman" w:hAnsi="Times New Roman"/>
          <w:sz w:val="18"/>
          <w:szCs w:val="18"/>
          <w:b w:val="1"/>
          <w:bCs w:val="1"/>
          <w:i w:val="1"/>
          <w:iCs w:val="1"/>
          <w:color w:val="auto"/>
        </w:rPr>
        <w:t>Depositary Shares</w:t>
      </w:r>
      <w:r>
        <w:rPr>
          <w:rFonts w:ascii="Times New Roman" w:cs="Times New Roman" w:eastAsia="Times New Roman" w:hAnsi="Times New Roman"/>
          <w:sz w:val="18"/>
          <w:szCs w:val="18"/>
          <w:color w:val="auto"/>
        </w:rPr>
        <w:t>”); (iii) shares of common stock, par value $0.001 per share,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(iv) warrants for the purchase of Common Stock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and, together with the Debt Securities, the Guarantees, the Preferred Stock, the Depositary Shares and the Common Stock,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We have also participated in the preparation of the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contained in the Registration Statement to which this opinion is an exhibit.</w:t>
      </w:r>
    </w:p>
    <w:p>
      <w:pPr>
        <w:spacing w:after="0" w:line="159"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We are rendering this opinion as of the time the Registration Statement becomes effective, which Registration Statement became automatically effective upon filing with the Commission pursuant to Rule 462(e) under the Securities Act.</w:t>
      </w:r>
    </w:p>
    <w:p>
      <w:pPr>
        <w:sectPr>
          <w:pgSz w:w="11900" w:h="16838" w:orient="portrait"/>
          <w:cols w:equalWidth="0" w:num="1">
            <w:col w:w="11020"/>
          </w:cols>
          <w:pgMar w:left="440" w:top="117" w:right="439" w:bottom="1440" w:gutter="0" w:footer="0" w:header="0"/>
        </w:sectPr>
      </w:pP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Vinson &amp; Elkins LLP Attorneys at Law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Austin Dallas Denver Dubai Dublin Houston London Los Angeles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Richmond San Francisco Tokyo Washington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845 Texas Avenue, Suite 4700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Tel </w:t>
      </w:r>
      <w:r>
        <w:rPr>
          <w:rFonts w:ascii="Times New Roman" w:cs="Times New Roman" w:eastAsia="Times New Roman" w:hAnsi="Times New Roman"/>
          <w:sz w:val="17"/>
          <w:szCs w:val="17"/>
          <w:color w:val="auto"/>
        </w:rPr>
        <w:t>+1.713.758.2222</w:t>
      </w:r>
      <w:r>
        <w:rPr>
          <w:rFonts w:ascii="Times New Roman" w:cs="Times New Roman" w:eastAsia="Times New Roman" w:hAnsi="Times New Roman"/>
          <w:sz w:val="17"/>
          <w:szCs w:val="17"/>
          <w:b w:val="1"/>
          <w:bCs w:val="1"/>
          <w:color w:val="auto"/>
        </w:rPr>
        <w:t xml:space="preserve"> Fax </w:t>
      </w:r>
      <w:r>
        <w:rPr>
          <w:rFonts w:ascii="Times New Roman" w:cs="Times New Roman" w:eastAsia="Times New Roman" w:hAnsi="Times New Roman"/>
          <w:sz w:val="17"/>
          <w:szCs w:val="17"/>
          <w:color w:val="auto"/>
        </w:rPr>
        <w:t>+1.713.758.2346</w:t>
      </w:r>
      <w:r>
        <w:rPr>
          <w:rFonts w:ascii="Times New Roman" w:cs="Times New Roman" w:eastAsia="Times New Roman" w:hAnsi="Times New Roman"/>
          <w:sz w:val="17"/>
          <w:szCs w:val="17"/>
          <w:b w:val="1"/>
          <w:bCs w:val="1"/>
          <w:color w:val="auto"/>
        </w:rPr>
        <w:t xml:space="preserve"> velaw.com</w:t>
      </w:r>
    </w:p>
    <w:p>
      <w:pPr>
        <w:sectPr>
          <w:pgSz w:w="11900" w:h="16838" w:orient="portrait"/>
          <w:cols w:equalWidth="0" w:num="2">
            <w:col w:w="5020" w:space="720"/>
            <w:col w:w="5280"/>
          </w:cols>
          <w:pgMar w:left="440" w:top="117" w:right="439" w:bottom="1440" w:gutter="0" w:footer="0" w:header="0"/>
          <w:type w:val="continuous"/>
        </w:sectPr>
      </w:pPr>
    </w:p>
    <w:bookmarkStart w:id="48" w:name="page49"/>
    <w:bookmarkEnd w:id="48"/>
    <w:p>
      <w:pPr>
        <w:ind w:left="93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05460" cy="2571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505460" cy="257175"/>
                    </a:xfrm>
                    <a:prstGeom prst="rect">
                      <a:avLst/>
                    </a:prstGeom>
                    <a:noFill/>
                  </pic:spPr>
                </pic:pic>
              </a:graphicData>
            </a:graphic>
          </wp:anchor>
        </w:drawing>
        <w:t>March 21, 2025 Page 2</w:t>
      </w:r>
    </w:p>
    <w:p>
      <w:pPr>
        <w:spacing w:after="0" w:line="252" w:lineRule="exact"/>
        <w:rPr>
          <w:sz w:val="20"/>
          <w:szCs w:val="20"/>
          <w:color w:val="auto"/>
        </w:rPr>
      </w:pPr>
    </w:p>
    <w:p>
      <w:pPr>
        <w:ind w:left="4" w:right="220" w:firstLine="440"/>
        <w:spacing w:after="0" w:line="269" w:lineRule="auto"/>
        <w:rPr>
          <w:sz w:val="20"/>
          <w:szCs w:val="20"/>
          <w:color w:val="auto"/>
        </w:rPr>
      </w:pPr>
      <w:r>
        <w:rPr>
          <w:rFonts w:ascii="Times New Roman" w:cs="Times New Roman" w:eastAsia="Times New Roman" w:hAnsi="Times New Roman"/>
          <w:sz w:val="17"/>
          <w:szCs w:val="17"/>
          <w:color w:val="auto"/>
        </w:rPr>
        <w:t>In connection with the opinions expressed herein, we have examined, among other things, (i) the Amended and Restated Certificate of Incorporation of the Company, dated December 10, 2010, as amended by the Certificate of Designations thereto, dated March 16, 2016, as further amended by the Certificate of Amendment thereto, dated as of May 25, 2021 (collectively, the “</w:t>
      </w:r>
      <w:r>
        <w:rPr>
          <w:rFonts w:ascii="Times New Roman" w:cs="Times New Roman" w:eastAsia="Times New Roman" w:hAnsi="Times New Roman"/>
          <w:sz w:val="17"/>
          <w:szCs w:val="17"/>
          <w:b w:val="1"/>
          <w:bCs w:val="1"/>
          <w:i w:val="1"/>
          <w:iCs w:val="1"/>
          <w:color w:val="auto"/>
        </w:rPr>
        <w:t>Certificate</w:t>
      </w:r>
      <w:r>
        <w:rPr>
          <w:rFonts w:ascii="Times New Roman" w:cs="Times New Roman" w:eastAsia="Times New Roman" w:hAnsi="Times New Roman"/>
          <w:sz w:val="17"/>
          <w:szCs w:val="17"/>
          <w:color w:val="auto"/>
        </w:rPr>
        <w:t>”); (ii) the Third Amended and Restated Bylaws of the Company, dated December 7, 2023 (the “</w:t>
      </w:r>
      <w:r>
        <w:rPr>
          <w:rFonts w:ascii="Times New Roman" w:cs="Times New Roman" w:eastAsia="Times New Roman" w:hAnsi="Times New Roman"/>
          <w:sz w:val="17"/>
          <w:szCs w:val="17"/>
          <w:b w:val="1"/>
          <w:bCs w:val="1"/>
          <w:i w:val="1"/>
          <w:iCs w:val="1"/>
          <w:color w:val="auto"/>
        </w:rPr>
        <w:t>Bylaws</w:t>
      </w:r>
      <w:r>
        <w:rPr>
          <w:rFonts w:ascii="Times New Roman" w:cs="Times New Roman" w:eastAsia="Times New Roman" w:hAnsi="Times New Roman"/>
          <w:sz w:val="17"/>
          <w:szCs w:val="17"/>
          <w:color w:val="auto"/>
        </w:rPr>
        <w:t>”); (iii) the records of corporate proceedings that have occurred prior to the date hereof with respect to the Offering; (iv) the organizational documents of the Subsidiary Guarantors; (v) the Registration Statement, including the Prospectus;</w:t>
      </w:r>
    </w:p>
    <w:p>
      <w:pPr>
        <w:spacing w:after="0" w:line="3" w:lineRule="exact"/>
        <w:rPr>
          <w:sz w:val="20"/>
          <w:szCs w:val="20"/>
          <w:color w:val="auto"/>
        </w:rPr>
      </w:pPr>
    </w:p>
    <w:p>
      <w:pPr>
        <w:ind w:left="4" w:right="140" w:hanging="4"/>
        <w:spacing w:after="0" w:line="252" w:lineRule="auto"/>
        <w:tabs>
          <w:tab w:leader="none" w:pos="30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dated as of April 6, 2022, among the Company, as issuer, the guarantors party thereto and U.S. Bank Trust Company, National Association, as trustee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incorporated by reference as Exhibit 4.6 to the Registration Statement; and (viii) such other documents as we have deemed necessary or appropriate for purposes of this opinion. We have also reviewed such questions of law as we have deemed necessary or appropriate. As to matters of fact relevant to the opinions expressed herein, and as to factual matters arising in connection with our examination of corporate documents, records and other documents and writings, we relied upon certificates and other communications of corporate officers of the Company, without further investigation as to the facts set forth therein.</w:t>
      </w:r>
    </w:p>
    <w:p>
      <w:pPr>
        <w:spacing w:after="0" w:line="190" w:lineRule="exact"/>
        <w:rPr>
          <w:sz w:val="20"/>
          <w:szCs w:val="20"/>
          <w:color w:val="auto"/>
        </w:rPr>
      </w:pPr>
    </w:p>
    <w:p>
      <w:pPr>
        <w:ind w:left="4" w:right="18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rendering the opinions set forth below, we have assumed that (i) all information contained in all documents reviewed by us is true and correct; (ii) all signatures on all documents examined by us are genuine; (iii) all documents submitted to us as originals are authentic and all documents submitted to us as copies conform to the originals of those documents; (iv) the Registration Statement and any subsequent amendments (including additional post-effective amendments) will be effective and comply with all applicable laws; (v) all Securities will be issued and sold in compliance with applicable federal and state securities laws and in the manner specified in the Registration Statement and the applicable prospectus supplement(s); (vi) the Indenture and, if applicable, the related Guarantees will have been duly qualified under the Trust Indenture Act of 1939, as amended; (vii) one or more prospectus supplements will have been prepared and filed with the Commission describing the Securities offered thereby;</w:t>
      </w:r>
    </w:p>
    <w:p>
      <w:pPr>
        <w:spacing w:after="0" w:line="3" w:lineRule="exact"/>
        <w:rPr>
          <w:sz w:val="20"/>
          <w:szCs w:val="20"/>
          <w:color w:val="auto"/>
        </w:rPr>
      </w:pPr>
    </w:p>
    <w:p>
      <w:pPr>
        <w:jc w:val="both"/>
        <w:ind w:left="4" w:right="60" w:hanging="4"/>
        <w:spacing w:after="0" w:line="265" w:lineRule="auto"/>
        <w:tabs>
          <w:tab w:leader="none" w:pos="409"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Indenture, and any supplemental indenture relating to a particular series of Debt Securities, has been or will be, as applicable, duly authorized, executed and delivered by the parties thereto in substantially the form reviewed by us; (ix) a definitive purchase, underwriting or similar agreement with respect to any Securities offered will have been duly authorized and validly executed and delivered by the Company and the other parties thereto; and</w:t>
      </w:r>
    </w:p>
    <w:p>
      <w:pPr>
        <w:ind w:left="4" w:right="160" w:hanging="4"/>
        <w:spacing w:after="0" w:line="260" w:lineRule="auto"/>
        <w:tabs>
          <w:tab w:leader="none" w:pos="25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issuable upon conversion, exchange or exercise of any Debt Securities, Preferred Stock, Depositary Shares or Warrants being offered will have been duly authorized, created and, if appropriate, reserved for issuance upon such conversion, exchange or exercise.</w:t>
      </w:r>
    </w:p>
    <w:p>
      <w:pPr>
        <w:sectPr>
          <w:pgSz w:w="11900" w:h="16838" w:orient="portrait"/>
          <w:cols w:equalWidth="0" w:num="1">
            <w:col w:w="11024"/>
          </w:cols>
          <w:pgMar w:left="436" w:top="364" w:right="439" w:bottom="1440" w:gutter="0" w:footer="0" w:header="0"/>
        </w:sectPr>
      </w:pPr>
    </w:p>
    <w:bookmarkStart w:id="49" w:name="page50"/>
    <w:bookmarkEnd w:id="49"/>
    <w:p>
      <w:pPr>
        <w:ind w:left="93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05460" cy="2571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505460" cy="257175"/>
                    </a:xfrm>
                    <a:prstGeom prst="rect">
                      <a:avLst/>
                    </a:prstGeom>
                    <a:noFill/>
                  </pic:spPr>
                </pic:pic>
              </a:graphicData>
            </a:graphic>
          </wp:anchor>
        </w:drawing>
        <w:t>March 21, 2025 Page 3</w:t>
      </w:r>
    </w:p>
    <w:p>
      <w:pPr>
        <w:spacing w:after="0" w:line="25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and subject to the assumptions, qualifications, limitations and exceptions set forth herein, we are of the opinion that:</w:t>
      </w:r>
    </w:p>
    <w:p>
      <w:pPr>
        <w:spacing w:after="0" w:line="63" w:lineRule="exact"/>
        <w:rPr>
          <w:sz w:val="20"/>
          <w:szCs w:val="20"/>
          <w:color w:val="auto"/>
        </w:rPr>
      </w:pPr>
    </w:p>
    <w:p>
      <w:pPr>
        <w:ind w:left="960" w:right="40" w:hanging="532"/>
        <w:spacing w:after="0" w:line="252"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the Company (or a committee thereof), and, if applicable, the board of directors, board of managers, general partner or other governing body of each of the Subsidiary Guarantors, have taken all necessary corporate action to approve the issuance and terms of any such Debt Securities and, if applicable, the related Guarantees; (ii) the terms of such Debt Securities, and, if applicable, the related Guarantees, and of their issuance and sale have been duly established in conformity with the Indenture so as not to violate any applicable law or result in a default under or breach of the Certificate and the Bylaws or other organizational documents of the Company or any applicable law or any agreement or instrument binding upon the Company or the Subsidiary Guarantors and so as to comply with any requirement or restriction imposed by any court or governmental or regulatory body having jurisdiction over the Company or the Subsidiary Guarantors; and (iii) such Debt Securities (which may include related Guarantees) have been duly authenticated and delivered in accordance with the Indenture and issued and sold as contemplated in the Registration Statement and upon payment of the consideration for such Debt Securities as provided for in the applicable definitive purchase, underwriting or similar agreement approved by the Board, such Debt Securities and, if applicable, the related Guarantees will be legally issued and will constitute valid and legally binding obligations of the Company and, if applicable, the Subsidiary Guarantors, respectively, enforceable against the Company and, if applicable, the Subsidiary Guarantors, respectively, in accordance with their terms, except as such enforcement is subject to any applicable bankruptcy, insolvency (including, without limitation, all laws relating to fraudulent transfers), reorganization, moratorium and similar laws relating to or affecting creditors’ rights generally and to general equitable principles (regardless of whether enforcement is sought in a proceeding in equity or at law);</w:t>
      </w:r>
    </w:p>
    <w:p>
      <w:pPr>
        <w:spacing w:after="0" w:line="104" w:lineRule="exact"/>
        <w:rPr>
          <w:rFonts w:ascii="Times New Roman" w:cs="Times New Roman" w:eastAsia="Times New Roman" w:hAnsi="Times New Roman"/>
          <w:sz w:val="18"/>
          <w:szCs w:val="18"/>
          <w:color w:val="auto"/>
        </w:rPr>
      </w:pPr>
    </w:p>
    <w:p>
      <w:pPr>
        <w:ind w:left="960" w:right="60" w:hanging="532"/>
        <w:spacing w:after="0" w:line="254"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shares of Common Stock, when both (i) the Board has taken all necessary corporate action to approve the issuance of and the terms of the offering of the shares of Common Stock and related matters and (ii) certificates representing the shares of Common Stock have been duly executed, countersigned, registered, and delivered (or non-certificated shares of Common Stock shall have been properly issued) either (A) in accordance with the applicable definitive purchase, underwriting, or similar agreement approved by the Board or such officers upon payment of the consideration therefor (not less than the par value of the Common Stock) provided for therein or (B) upon conversion or exercise of any other Security, in accordance with the terms of such Security or the instrument governing such Security providing for such conversion or exercise as approved by the Board, for the consideration approved by the Board (not less than the par value of the Common Stock), then the shares of Common Stock will be legally issued, fully paid, and nonassessable;</w:t>
      </w:r>
    </w:p>
    <w:p>
      <w:pPr>
        <w:sectPr>
          <w:pgSz w:w="11900" w:h="16838" w:orient="portrait"/>
          <w:cols w:equalWidth="0" w:num="1">
            <w:col w:w="11020"/>
          </w:cols>
          <w:pgMar w:left="440" w:top="364" w:right="4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05460" cy="2571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505460" cy="257175"/>
                    </a:xfrm>
                    <a:prstGeom prst="rect">
                      <a:avLst/>
                    </a:prstGeom>
                    <a:noFill/>
                  </pic:spPr>
                </pic:pic>
              </a:graphicData>
            </a:graphic>
          </wp:anchor>
        </w:drawing>
        <w:t>March 21, 2025 Page 4</w:t>
      </w:r>
    </w:p>
    <w:p>
      <w:pPr>
        <w:spacing w:after="0" w:line="252" w:lineRule="exact"/>
        <w:rPr>
          <w:sz w:val="20"/>
          <w:szCs w:val="20"/>
          <w:color w:val="auto"/>
        </w:rPr>
      </w:pPr>
    </w:p>
    <w:p>
      <w:pPr>
        <w:ind w:left="540" w:right="80" w:hanging="532"/>
        <w:spacing w:after="0" w:line="253"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shares of any series of Preferred Stock, when (i) the Board has taken all necessary corporate action to approve the issuance and terms of the shares of the series of Preferred Stock, the terms of the offering thereof and related matters, including the adoption of a resolution establishing and designating such series and fixing and determining the preferences, limitations and relative rights thereof and the filing of a statement with respect to such series with the Secretary of State of the State of Delaware (a “</w:t>
      </w:r>
      <w:r>
        <w:rPr>
          <w:rFonts w:ascii="Times New Roman" w:cs="Times New Roman" w:eastAsia="Times New Roman" w:hAnsi="Times New Roman"/>
          <w:sz w:val="18"/>
          <w:szCs w:val="18"/>
          <w:b w:val="1"/>
          <w:bCs w:val="1"/>
          <w:i w:val="1"/>
          <w:iCs w:val="1"/>
          <w:color w:val="auto"/>
        </w:rPr>
        <w:t>Certificate of Designation</w:t>
      </w:r>
      <w:r>
        <w:rPr>
          <w:rFonts w:ascii="Times New Roman" w:cs="Times New Roman" w:eastAsia="Times New Roman" w:hAnsi="Times New Roman"/>
          <w:sz w:val="18"/>
          <w:szCs w:val="18"/>
          <w:color w:val="auto"/>
        </w:rPr>
        <w:t>”) and (ii) certificates representing the shares of the series of Preferred Stock have been duly executed, countersigned, registered and delivered (or non-certificated shares of the series of Preferred Stock shall have been properly issued) either (A) in accordance with the applicable definitive purchase, underwriting or similar agreement approved by the Board, then upon payment of the consideration therefor (not less than the par value of the Preferred Stock) provided for therein or (B) upon the conversion, exchange or exercise of any other Security in accordance with the terms of the Security or the instrument governing the Security providing for the conversion, exchange or exercise as approved by the Board, for the consideration approved by the Board (not less than the par value of the Preferred Stock), the shares of the series of Preferred Stock will be validly issued, fully paid and non-assessable;</w:t>
      </w:r>
    </w:p>
    <w:p>
      <w:pPr>
        <w:spacing w:after="0" w:line="97" w:lineRule="exact"/>
        <w:rPr>
          <w:rFonts w:ascii="Times New Roman" w:cs="Times New Roman" w:eastAsia="Times New Roman" w:hAnsi="Times New Roman"/>
          <w:sz w:val="18"/>
          <w:szCs w:val="18"/>
          <w:color w:val="auto"/>
        </w:rPr>
      </w:pPr>
    </w:p>
    <w:p>
      <w:pPr>
        <w:ind w:left="540" w:right="60" w:hanging="532"/>
        <w:spacing w:after="0" w:line="253"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Depositary Shares, when (i) the Company has taken all necessary corporate action to approve the issuance and terms of the Depositary Shares, the terms of the offering thereof and related matters, including the adoption of a Certificate of Designation relating to the shares of Preferred Stock underlying the Depositary Shares and the filing of such Certificate of Designation with the Secretary of State of the State of Delaware; (ii) the depositary agreement or agreements relating to the Depositary Shares and the related depositary receipts have been duly authorized and validly executed and delivered by the Company and the depositary appointed by the Company; (iii) the shares of Preferred Stock underlying the Depositary Shares have been deposited with the depositary under the applicable depositary agreement; and (iv) the depositary receipts representing the Depositary Shares have been duly executed, countersigned, registered and delivered in accordance with the appropriate depositary agreement approved by the Company, upon payment of the consideration therefor provided for in the applicable definitive purchase, underwriting or similar agreement, the Depositary Shares will be legally issued; and</w:t>
      </w:r>
    </w:p>
    <w:p>
      <w:pPr>
        <w:spacing w:after="0" w:line="99" w:lineRule="exact"/>
        <w:rPr>
          <w:rFonts w:ascii="Times New Roman" w:cs="Times New Roman" w:eastAsia="Times New Roman" w:hAnsi="Times New Roman"/>
          <w:sz w:val="18"/>
          <w:szCs w:val="18"/>
          <w:color w:val="auto"/>
        </w:rPr>
      </w:pPr>
    </w:p>
    <w:p>
      <w:pPr>
        <w:ind w:left="540" w:right="40" w:hanging="532"/>
        <w:spacing w:after="0" w:line="258"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Warrants, when (A) the Board has taken all necessary corporate action to approve the creation of and the issuance and terms of the Warrants, the terms of the offering thereof, and related matters, (B) the agreements relating to the Warrants have been duly authorized and validly executed and delivered by the Company and the applicable warrant agent appointed by the Company, and (C) the Warrants or certificates representing the Warrants have been duly executed, countersigned, registered, and delivered in accordance with the appropriate agreements relating to the Warrants and the applicable definitive purchase,</w:t>
      </w:r>
    </w:p>
    <w:p>
      <w:pPr>
        <w:sectPr>
          <w:pgSz w:w="11900" w:h="16838" w:orient="portrait"/>
          <w:cols w:equalWidth="0" w:num="1">
            <w:col w:w="10600"/>
          </w:cols>
          <w:pgMar w:left="860" w:top="364" w:right="439" w:bottom="1440" w:gutter="0" w:footer="0" w:header="0"/>
        </w:sectPr>
      </w:pPr>
    </w:p>
    <w:bookmarkStart w:id="51" w:name="page52"/>
    <w:bookmarkEnd w:id="51"/>
    <w:p>
      <w:pPr>
        <w:ind w:left="93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05460" cy="2571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505460" cy="257175"/>
                    </a:xfrm>
                    <a:prstGeom prst="rect">
                      <a:avLst/>
                    </a:prstGeom>
                    <a:noFill/>
                  </pic:spPr>
                </pic:pic>
              </a:graphicData>
            </a:graphic>
          </wp:anchor>
        </w:drawing>
        <w:t>March 21, 2025 Page 5</w:t>
      </w:r>
    </w:p>
    <w:p>
      <w:pPr>
        <w:spacing w:after="0" w:line="252" w:lineRule="exact"/>
        <w:rPr>
          <w:sz w:val="20"/>
          <w:szCs w:val="20"/>
          <w:color w:val="auto"/>
        </w:rPr>
      </w:pPr>
    </w:p>
    <w:p>
      <w:pPr>
        <w:ind w:left="980" w:right="80"/>
        <w:spacing w:after="0" w:line="256" w:lineRule="auto"/>
        <w:rPr>
          <w:sz w:val="20"/>
          <w:szCs w:val="20"/>
          <w:color w:val="auto"/>
        </w:rPr>
      </w:pPr>
      <w:r>
        <w:rPr>
          <w:rFonts w:ascii="Times New Roman" w:cs="Times New Roman" w:eastAsia="Times New Roman" w:hAnsi="Times New Roman"/>
          <w:sz w:val="18"/>
          <w:szCs w:val="18"/>
          <w:color w:val="auto"/>
        </w:rPr>
        <w:t>underwriting, or similar agreement approved by the Board or such officers upon payment of the consideration therefor provided for therein, the Warrants will be legally issued and such Warrants will constitute valid and legally binding obligations of the Company, enforceable against the Company in accordance with their terms, except as such enforcement is subject to any applicable bankruptcy, insolvency (including, without limitation, all laws relating to fraudulent transfers), reorganization, moratorium and similar laws relating to or affecting creditors’ rights generally and to general equitable principles (regardless of whether enforcement is sought in a proceeding in equity or at law).</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opinions expressed herein are qualified in the following respects:</w:t>
      </w:r>
    </w:p>
    <w:p>
      <w:pPr>
        <w:spacing w:after="0" w:line="117" w:lineRule="exact"/>
        <w:rPr>
          <w:sz w:val="20"/>
          <w:szCs w:val="20"/>
          <w:color w:val="auto"/>
        </w:rPr>
      </w:pPr>
    </w:p>
    <w:p>
      <w:pPr>
        <w:ind w:right="140" w:firstLine="436"/>
        <w:spacing w:after="0" w:line="261" w:lineRule="auto"/>
        <w:tabs>
          <w:tab w:leader="none" w:pos="6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opinions concerning (a) the validity or enforceability of any provisions contained in the Indenture that purport to waive or not give effect to rights to notices, defenses, subrogation or other rights or benefits that cannot be effectively waived under applicable law or (b) the enforceability of indemnification provisions to the extent they purport to relate to liabilities resulting from or based upon negligence or any violation of federal or state securities or blue sky laws; and</w:t>
      </w:r>
    </w:p>
    <w:p>
      <w:pPr>
        <w:spacing w:after="0" w:line="71" w:lineRule="exact"/>
        <w:rPr>
          <w:rFonts w:ascii="Times New Roman" w:cs="Times New Roman" w:eastAsia="Times New Roman" w:hAnsi="Times New Roman"/>
          <w:sz w:val="18"/>
          <w:szCs w:val="18"/>
          <w:color w:val="auto"/>
        </w:rPr>
      </w:pPr>
    </w:p>
    <w:p>
      <w:pPr>
        <w:ind w:right="20" w:firstLine="436"/>
        <w:spacing w:after="0" w:line="258" w:lineRule="auto"/>
        <w:tabs>
          <w:tab w:leader="none" w:pos="6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opinions are limited in all respects to the laws of the State of New York and the Delaware General Corporation Law, the Delaware Revised Uniform Limited Partnership Act and Delaware Limited Liability Company Act (including the applicable provisions of the Delaware Constitution and the reported judicial decisions interpreting these laws) and the federal laws of the United States of America, and we are expressing no opinion as to the applicability or effect of the laws of any other jurisdiction, or, in the case of Delaware, any other laws, or as to any matters of municipal law or the laws of any local agencies within any state.</w:t>
      </w:r>
    </w:p>
    <w:p>
      <w:pPr>
        <w:spacing w:after="0" w:line="183" w:lineRule="exact"/>
        <w:rPr>
          <w:sz w:val="20"/>
          <w:szCs w:val="20"/>
          <w:color w:val="auto"/>
        </w:rPr>
      </w:pPr>
    </w:p>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t>We hereby consent to the statements with respect to us under the heading “Legal Matters” in the prospectus forming a part of the Registration Statement and to the filing of this opinion as an exhibit to the Registration Statement. In giving such consent, we do not thereby admit that we are within the category of persons whose consent is required under Section 7 of the Securities Act, and the rules and regulations of the Commission thereunder.</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Vinson &amp; Elkins L.L.P.</w:t>
      </w:r>
    </w:p>
    <w:p>
      <w:pPr>
        <w:sectPr>
          <w:pgSz w:w="11900" w:h="16838" w:orient="portrait"/>
          <w:cols w:equalWidth="0" w:num="1">
            <w:col w:w="11020"/>
          </w:cols>
          <w:pgMar w:left="440" w:top="364" w:right="4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Targa Resources Corp. of our report dated February 20, 2025 relating to the financial statements and the effectiveness of internal control over financial reporting, which appears in Targa Resources Corp.’s Annual Report on Form 10-K for the year ended December 31, 2024. We also consent to the reference to us under the heading “Experts” in such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2025</w:t>
      </w:r>
    </w:p>
    <w:p>
      <w:pPr>
        <w:sectPr>
          <w:pgSz w:w="11900" w:h="16838" w:orient="portrait"/>
          <w:cols w:equalWidth="0" w:num="1">
            <w:col w:w="11020"/>
          </w:cols>
          <w:pgMar w:left="440" w:top="117" w:right="4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6995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225425</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16"/>
        <w:spacing w:after="0" w:line="246" w:lineRule="auto"/>
        <w:rPr>
          <w:sz w:val="20"/>
          <w:szCs w:val="20"/>
          <w:color w:val="auto"/>
        </w:rPr>
      </w:pPr>
      <w:r>
        <w:rPr>
          <w:rFonts w:ascii="Times New Roman" w:cs="Times New Roman" w:eastAsia="Times New Roman" w:hAnsi="Times New Roman"/>
          <w:sz w:val="22"/>
          <w:szCs w:val="22"/>
          <w:b w:val="1"/>
          <w:bCs w:val="1"/>
          <w:color w:val="auto"/>
        </w:rPr>
        <w:t>STATEMENT OF ELIGIBILITY UNDER THE TRUST INDENTURE ACT OF 1939 OF A CORPORATION DESIGNATED TO ACT AS TRUSTEE</w:t>
      </w:r>
    </w:p>
    <w:p>
      <w:pPr>
        <w:spacing w:after="0" w:line="194" w:lineRule="exact"/>
        <w:rPr>
          <w:sz w:val="20"/>
          <w:szCs w:val="20"/>
          <w:color w:val="auto"/>
        </w:rPr>
      </w:pPr>
    </w:p>
    <w:p>
      <w:pPr>
        <w:ind w:left="424" w:hanging="424"/>
        <w:spacing w:after="0"/>
        <w:tabs>
          <w:tab w:leader="none" w:pos="424" w:val="left"/>
        </w:tabs>
        <w:numPr>
          <w:ilvl w:val="0"/>
          <w:numId w:val="57"/>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253365</wp:posOffset>
            </wp:positionV>
            <wp:extent cx="1474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U.S. BANK TRUST COMPANY, NATIONAL ASSOCIATION</w:t>
      </w:r>
    </w:p>
    <w:p>
      <w:pPr>
        <w:spacing w:after="0" w:line="4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6660" w:type="dxa"/>
            <w:vAlign w:val="bottom"/>
            <w:gridSpan w:val="2"/>
          </w:tcPr>
          <w:p>
            <w:pPr>
              <w:jc w:val="right"/>
              <w:ind w:right="637"/>
              <w:spacing w:after="0"/>
              <w:rPr>
                <w:sz w:val="20"/>
                <w:szCs w:val="20"/>
                <w:color w:val="auto"/>
              </w:rPr>
            </w:pPr>
            <w:r>
              <w:rPr>
                <w:rFonts w:ascii="Times New Roman" w:cs="Times New Roman" w:eastAsia="Times New Roman" w:hAnsi="Times New Roman"/>
                <w:sz w:val="18"/>
                <w:szCs w:val="18"/>
                <w:b w:val="1"/>
                <w:bCs w:val="1"/>
                <w:color w:val="auto"/>
              </w:rPr>
              <w:t>91-1821036</w:t>
            </w:r>
          </w:p>
        </w:tc>
        <w:tc>
          <w:tcPr>
            <w:tcW w:w="90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190"/>
        </w:trPr>
        <w:tc>
          <w:tcPr>
            <w:tcW w:w="4340" w:type="dxa"/>
            <w:vAlign w:val="bottom"/>
          </w:tcPr>
          <w:p>
            <w:pPr>
              <w:spacing w:after="0"/>
              <w:rPr>
                <w:sz w:val="16"/>
                <w:szCs w:val="16"/>
                <w:color w:val="auto"/>
              </w:rPr>
            </w:pPr>
          </w:p>
        </w:tc>
        <w:tc>
          <w:tcPr>
            <w:tcW w:w="322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3460" w:type="dxa"/>
            <w:vAlign w:val="bottom"/>
          </w:tcPr>
          <w:p>
            <w:pPr>
              <w:spacing w:after="0"/>
              <w:rPr>
                <w:sz w:val="16"/>
                <w:szCs w:val="16"/>
                <w:color w:val="auto"/>
              </w:rPr>
            </w:pPr>
          </w:p>
        </w:tc>
      </w:tr>
      <w:tr>
        <w:trPr>
          <w:trHeight w:val="420"/>
        </w:trPr>
        <w:tc>
          <w:tcPr>
            <w:tcW w:w="756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800 Nicollet Mall</w:t>
            </w:r>
          </w:p>
        </w:tc>
        <w:tc>
          <w:tcPr>
            <w:tcW w:w="3460" w:type="dxa"/>
            <w:vAlign w:val="bottom"/>
          </w:tcPr>
          <w:p>
            <w:pPr>
              <w:spacing w:after="0"/>
              <w:rPr>
                <w:sz w:val="24"/>
                <w:szCs w:val="24"/>
                <w:color w:val="auto"/>
              </w:rPr>
            </w:pPr>
          </w:p>
        </w:tc>
      </w:tr>
      <w:tr>
        <w:trPr>
          <w:trHeight w:val="227"/>
        </w:trPr>
        <w:tc>
          <w:tcPr>
            <w:tcW w:w="756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9"/>
              </w:rPr>
              <w:t>Minneapolis, Minnesota</w:t>
            </w:r>
          </w:p>
        </w:tc>
        <w:tc>
          <w:tcPr>
            <w:tcW w:w="3460" w:type="dxa"/>
            <w:vAlign w:val="bottom"/>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7"/>
              </w:rPr>
              <w:t>55402</w:t>
            </w:r>
          </w:p>
        </w:tc>
      </w:tr>
      <w:tr>
        <w:trPr>
          <w:trHeight w:val="190"/>
        </w:trPr>
        <w:tc>
          <w:tcPr>
            <w:tcW w:w="7560" w:type="dxa"/>
            <w:vAlign w:val="bottom"/>
            <w:gridSpan w:val="3"/>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60" w:type="dxa"/>
            <w:vAlign w:val="bottom"/>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3"/>
        </w:trPr>
        <w:tc>
          <w:tcPr>
            <w:tcW w:w="4340" w:type="dxa"/>
            <w:vAlign w:val="bottom"/>
          </w:tcPr>
          <w:p>
            <w:pPr>
              <w:spacing w:after="0"/>
              <w:rPr>
                <w:sz w:val="24"/>
                <w:szCs w:val="24"/>
                <w:color w:val="auto"/>
              </w:rPr>
            </w:pPr>
          </w:p>
        </w:tc>
        <w:tc>
          <w:tcPr>
            <w:tcW w:w="322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Misty Gutierrez</w:t>
            </w:r>
          </w:p>
        </w:tc>
        <w:tc>
          <w:tcPr>
            <w:tcW w:w="3460" w:type="dxa"/>
            <w:vAlign w:val="bottom"/>
          </w:tcPr>
          <w:p>
            <w:pPr>
              <w:spacing w:after="0"/>
              <w:rPr>
                <w:sz w:val="24"/>
                <w:szCs w:val="24"/>
                <w:color w:val="auto"/>
              </w:rPr>
            </w:pPr>
          </w:p>
        </w:tc>
      </w:tr>
      <w:tr>
        <w:trPr>
          <w:trHeight w:val="216"/>
        </w:trPr>
        <w:tc>
          <w:tcPr>
            <w:tcW w:w="7560" w:type="dxa"/>
            <w:vAlign w:val="bottom"/>
            <w:gridSpan w:val="3"/>
          </w:tcPr>
          <w:p>
            <w:pPr>
              <w:jc w:val="center"/>
              <w:ind w:left="3377"/>
              <w:spacing w:after="0"/>
              <w:rPr>
                <w:sz w:val="20"/>
                <w:szCs w:val="20"/>
                <w:color w:val="auto"/>
              </w:rPr>
            </w:pPr>
            <w:r>
              <w:rPr>
                <w:rFonts w:ascii="Times New Roman" w:cs="Times New Roman" w:eastAsia="Times New Roman" w:hAnsi="Times New Roman"/>
                <w:sz w:val="18"/>
                <w:szCs w:val="18"/>
                <w:b w:val="1"/>
                <w:bCs w:val="1"/>
                <w:color w:val="auto"/>
                <w:w w:val="99"/>
              </w:rPr>
              <w:t>U.S. Bank Trust Company, National Association</w:t>
            </w:r>
          </w:p>
        </w:tc>
        <w:tc>
          <w:tcPr>
            <w:tcW w:w="346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322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13737 Noel Road, Suite 800</w:t>
            </w:r>
          </w:p>
        </w:tc>
        <w:tc>
          <w:tcPr>
            <w:tcW w:w="346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322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Dallas, TX 75240</w:t>
            </w:r>
          </w:p>
        </w:tc>
        <w:tc>
          <w:tcPr>
            <w:tcW w:w="3460" w:type="dxa"/>
            <w:vAlign w:val="bottom"/>
          </w:tcPr>
          <w:p>
            <w:pPr>
              <w:spacing w:after="0"/>
              <w:rPr>
                <w:sz w:val="18"/>
                <w:szCs w:val="18"/>
                <w:color w:val="auto"/>
              </w:rPr>
            </w:pPr>
          </w:p>
        </w:tc>
      </w:tr>
      <w:tr>
        <w:trPr>
          <w:trHeight w:val="214"/>
        </w:trPr>
        <w:tc>
          <w:tcPr>
            <w:tcW w:w="6660" w:type="dxa"/>
            <w:vAlign w:val="bottom"/>
            <w:gridSpan w:val="2"/>
          </w:tcPr>
          <w:p>
            <w:pPr>
              <w:jc w:val="right"/>
              <w:ind w:right="517"/>
              <w:spacing w:after="0"/>
              <w:rPr>
                <w:sz w:val="20"/>
                <w:szCs w:val="20"/>
                <w:color w:val="auto"/>
              </w:rPr>
            </w:pPr>
            <w:r>
              <w:rPr>
                <w:rFonts w:ascii="Times New Roman" w:cs="Times New Roman" w:eastAsia="Times New Roman" w:hAnsi="Times New Roman"/>
                <w:sz w:val="18"/>
                <w:szCs w:val="18"/>
                <w:b w:val="1"/>
                <w:bCs w:val="1"/>
                <w:color w:val="auto"/>
              </w:rPr>
              <w:t>(945) 290-4357</w:t>
            </w:r>
          </w:p>
        </w:tc>
        <w:tc>
          <w:tcPr>
            <w:tcW w:w="90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190"/>
        </w:trPr>
        <w:tc>
          <w:tcPr>
            <w:tcW w:w="7560" w:type="dxa"/>
            <w:vAlign w:val="bottom"/>
            <w:gridSpan w:val="3"/>
          </w:tcPr>
          <w:p>
            <w:pPr>
              <w:jc w:val="center"/>
              <w:ind w:left="3377"/>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agent for service)</w:t>
            </w:r>
          </w:p>
        </w:tc>
        <w:tc>
          <w:tcPr>
            <w:tcW w:w="3460" w:type="dxa"/>
            <w:vAlign w:val="bottom"/>
          </w:tcPr>
          <w:p>
            <w:pPr>
              <w:spacing w:after="0"/>
              <w:rPr>
                <w:sz w:val="16"/>
                <w:szCs w:val="16"/>
                <w:color w:val="auto"/>
              </w:rPr>
            </w:pPr>
          </w:p>
        </w:tc>
      </w:tr>
      <w:tr>
        <w:trPr>
          <w:trHeight w:val="334"/>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01"/>
        </w:trPr>
        <w:tc>
          <w:tcPr>
            <w:tcW w:w="4340" w:type="dxa"/>
            <w:vAlign w:val="bottom"/>
          </w:tcPr>
          <w:p>
            <w:pPr>
              <w:spacing w:after="0"/>
              <w:rPr>
                <w:sz w:val="24"/>
                <w:szCs w:val="24"/>
                <w:color w:val="auto"/>
              </w:rPr>
            </w:pPr>
          </w:p>
        </w:tc>
        <w:tc>
          <w:tcPr>
            <w:tcW w:w="322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8"/>
              </w:rPr>
              <w:t>Targa Resources Corp.</w:t>
            </w:r>
          </w:p>
        </w:tc>
        <w:tc>
          <w:tcPr>
            <w:tcW w:w="3460" w:type="dxa"/>
            <w:vAlign w:val="bottom"/>
          </w:tcPr>
          <w:p>
            <w:pPr>
              <w:spacing w:after="0"/>
              <w:rPr>
                <w:sz w:val="24"/>
                <w:szCs w:val="24"/>
                <w:color w:val="auto"/>
              </w:rPr>
            </w:pPr>
          </w:p>
        </w:tc>
      </w:tr>
      <w:tr>
        <w:trPr>
          <w:trHeight w:val="190"/>
        </w:trPr>
        <w:tc>
          <w:tcPr>
            <w:tcW w:w="4340" w:type="dxa"/>
            <w:vAlign w:val="bottom"/>
          </w:tcPr>
          <w:p>
            <w:pPr>
              <w:spacing w:after="0"/>
              <w:rPr>
                <w:sz w:val="16"/>
                <w:szCs w:val="16"/>
                <w:color w:val="auto"/>
              </w:rPr>
            </w:pPr>
          </w:p>
        </w:tc>
        <w:tc>
          <w:tcPr>
            <w:tcW w:w="322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(Issuer with respect to the Securities)</w:t>
            </w:r>
          </w:p>
        </w:tc>
        <w:tc>
          <w:tcPr>
            <w:tcW w:w="3460" w:type="dxa"/>
            <w:vAlign w:val="bottom"/>
          </w:tcPr>
          <w:p>
            <w:pPr>
              <w:spacing w:after="0"/>
              <w:rPr>
                <w:sz w:val="16"/>
                <w:szCs w:val="16"/>
                <w:color w:val="auto"/>
              </w:rPr>
            </w:pPr>
          </w:p>
        </w:tc>
      </w:tr>
      <w:tr>
        <w:trPr>
          <w:trHeight w:val="348"/>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55"/>
        </w:trPr>
        <w:tc>
          <w:tcPr>
            <w:tcW w:w="756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60" w:type="dxa"/>
            <w:vAlign w:val="bottom"/>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20-3701075</w:t>
            </w:r>
          </w:p>
        </w:tc>
      </w:tr>
      <w:tr>
        <w:trPr>
          <w:trHeight w:val="149"/>
        </w:trPr>
        <w:tc>
          <w:tcPr>
            <w:tcW w:w="7560" w:type="dxa"/>
            <w:vAlign w:val="bottom"/>
            <w:gridSpan w:val="3"/>
          </w:tcPr>
          <w:p>
            <w:pPr>
              <w:jc w:val="center"/>
              <w:ind w:right="200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60" w:type="dxa"/>
            <w:vAlign w:val="bottom"/>
          </w:tcPr>
          <w:p>
            <w:pPr>
              <w:jc w:val="center"/>
              <w:ind w:right="182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560" w:type="dxa"/>
            <w:vAlign w:val="bottom"/>
            <w:gridSpan w:val="3"/>
          </w:tcPr>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60" w:type="dxa"/>
            <w:vAlign w:val="bottom"/>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756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9"/>
              </w:rPr>
              <w:t>811 Louisiana St, Suite 2100</w:t>
            </w:r>
          </w:p>
        </w:tc>
        <w:tc>
          <w:tcPr>
            <w:tcW w:w="3460" w:type="dxa"/>
            <w:vAlign w:val="bottom"/>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7"/>
              </w:rPr>
              <w:t>77002</w:t>
            </w:r>
          </w:p>
        </w:tc>
      </w:tr>
      <w:tr>
        <w:trPr>
          <w:trHeight w:val="227"/>
        </w:trPr>
        <w:tc>
          <w:tcPr>
            <w:tcW w:w="756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3460" w:type="dxa"/>
            <w:vAlign w:val="bottom"/>
          </w:tcPr>
          <w:p>
            <w:pPr>
              <w:spacing w:after="0"/>
              <w:rPr>
                <w:sz w:val="19"/>
                <w:szCs w:val="19"/>
                <w:color w:val="auto"/>
              </w:rPr>
            </w:pPr>
          </w:p>
        </w:tc>
      </w:tr>
      <w:tr>
        <w:trPr>
          <w:trHeight w:val="190"/>
        </w:trPr>
        <w:tc>
          <w:tcPr>
            <w:tcW w:w="7560" w:type="dxa"/>
            <w:vAlign w:val="bottom"/>
            <w:gridSpan w:val="3"/>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60" w:type="dxa"/>
            <w:vAlign w:val="bottom"/>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47"/>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01"/>
        </w:trPr>
        <w:tc>
          <w:tcPr>
            <w:tcW w:w="4340" w:type="dxa"/>
            <w:vAlign w:val="bottom"/>
          </w:tcPr>
          <w:p>
            <w:pPr>
              <w:spacing w:after="0"/>
              <w:rPr>
                <w:sz w:val="24"/>
                <w:szCs w:val="24"/>
                <w:color w:val="auto"/>
              </w:rPr>
            </w:pPr>
          </w:p>
        </w:tc>
        <w:tc>
          <w:tcPr>
            <w:tcW w:w="322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Senior Note Debt Issuance</w:t>
            </w:r>
          </w:p>
        </w:tc>
        <w:tc>
          <w:tcPr>
            <w:tcW w:w="3460" w:type="dxa"/>
            <w:vAlign w:val="bottom"/>
          </w:tcPr>
          <w:p>
            <w:pPr>
              <w:spacing w:after="0"/>
              <w:rPr>
                <w:sz w:val="24"/>
                <w:szCs w:val="24"/>
                <w:color w:val="auto"/>
              </w:rPr>
            </w:pPr>
          </w:p>
        </w:tc>
      </w:tr>
      <w:tr>
        <w:trPr>
          <w:trHeight w:val="190"/>
        </w:trPr>
        <w:tc>
          <w:tcPr>
            <w:tcW w:w="4340" w:type="dxa"/>
            <w:vAlign w:val="bottom"/>
          </w:tcPr>
          <w:p>
            <w:pPr>
              <w:spacing w:after="0"/>
              <w:rPr>
                <w:sz w:val="16"/>
                <w:szCs w:val="16"/>
                <w:color w:val="auto"/>
              </w:rPr>
            </w:pPr>
          </w:p>
        </w:tc>
        <w:tc>
          <w:tcPr>
            <w:tcW w:w="322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(Title of the Indenture Securities)</w:t>
            </w:r>
          </w:p>
        </w:tc>
        <w:tc>
          <w:tcPr>
            <w:tcW w:w="3460" w:type="dxa"/>
            <w:vAlign w:val="bottom"/>
          </w:tcPr>
          <w:p>
            <w:pPr>
              <w:spacing w:after="0"/>
              <w:rPr>
                <w:sz w:val="16"/>
                <w:szCs w:val="16"/>
                <w:color w:val="auto"/>
              </w:rPr>
            </w:pPr>
          </w:p>
        </w:tc>
      </w:tr>
      <w:tr>
        <w:trPr>
          <w:trHeight w:val="213"/>
        </w:trPr>
        <w:tc>
          <w:tcPr>
            <w:tcW w:w="43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r>
      <w:tr>
        <w:trPr>
          <w:trHeight w:val="48"/>
        </w:trPr>
        <w:tc>
          <w:tcPr>
            <w:tcW w:w="43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r>
    </w:tbl>
    <w:p>
      <w:pPr>
        <w:sectPr>
          <w:pgSz w:w="11900" w:h="16838" w:orient="portrait"/>
          <w:cols w:equalWidth="0" w:num="1">
            <w:col w:w="11024"/>
          </w:cols>
          <w:pgMar w:left="436" w:top="117" w:right="439" w:bottom="1440" w:gutter="0" w:footer="0" w:header="0"/>
        </w:sectPr>
      </w:pPr>
    </w:p>
    <w:bookmarkStart w:id="54" w:name="page55"/>
    <w:bookmarkEnd w:id="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FORM T-1</w:t>
            </w:r>
          </w:p>
        </w:tc>
      </w:tr>
      <w:tr>
        <w:trPr>
          <w:trHeight w:val="20"/>
        </w:trPr>
        <w:tc>
          <w:tcPr>
            <w:tcW w:w="7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480"/>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7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GENERAL INFORMATION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Furnish the following information as to the Trustee.</w:t>
            </w:r>
          </w:p>
        </w:tc>
      </w:tr>
      <w:tr>
        <w:trPr>
          <w:trHeight w:val="319"/>
        </w:trPr>
        <w:tc>
          <w:tcPr>
            <w:tcW w:w="760" w:type="dxa"/>
            <w:vAlign w:val="bottom"/>
          </w:tcPr>
          <w:p>
            <w:pPr>
              <w:spacing w:after="0"/>
              <w:rPr>
                <w:sz w:val="24"/>
                <w:szCs w:val="24"/>
                <w:color w:val="auto"/>
              </w:rPr>
            </w:pPr>
          </w:p>
        </w:tc>
        <w:tc>
          <w:tcPr>
            <w:tcW w:w="8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Name and address of each examining or supervising authority to which it is subject.</w:t>
            </w:r>
          </w:p>
        </w:tc>
      </w:tr>
      <w:tr>
        <w:trPr>
          <w:trHeight w:val="216"/>
        </w:trPr>
        <w:tc>
          <w:tcPr>
            <w:tcW w:w="760" w:type="dxa"/>
            <w:vAlign w:val="bottom"/>
          </w:tcPr>
          <w:p>
            <w:pPr>
              <w:spacing w:after="0"/>
              <w:rPr>
                <w:sz w:val="18"/>
                <w:szCs w:val="18"/>
                <w:color w:val="auto"/>
              </w:rPr>
            </w:pPr>
          </w:p>
        </w:tc>
        <w:tc>
          <w:tcPr>
            <w:tcW w:w="87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Comptroller of the Currency</w:t>
            </w:r>
          </w:p>
        </w:tc>
      </w:tr>
      <w:tr>
        <w:trPr>
          <w:trHeight w:val="234"/>
        </w:trPr>
        <w:tc>
          <w:tcPr>
            <w:tcW w:w="760" w:type="dxa"/>
            <w:vAlign w:val="bottom"/>
          </w:tcPr>
          <w:p>
            <w:pPr>
              <w:spacing w:after="0"/>
              <w:rPr>
                <w:sz w:val="20"/>
                <w:szCs w:val="20"/>
                <w:color w:val="auto"/>
              </w:rPr>
            </w:pPr>
          </w:p>
        </w:tc>
        <w:tc>
          <w:tcPr>
            <w:tcW w:w="87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Washington, D.C.</w:t>
            </w:r>
          </w:p>
        </w:tc>
      </w:tr>
      <w:tr>
        <w:trPr>
          <w:trHeight w:val="319"/>
        </w:trPr>
        <w:tc>
          <w:tcPr>
            <w:tcW w:w="760" w:type="dxa"/>
            <w:vAlign w:val="bottom"/>
          </w:tcPr>
          <w:p>
            <w:pPr>
              <w:spacing w:after="0"/>
              <w:rPr>
                <w:sz w:val="24"/>
                <w:szCs w:val="24"/>
                <w:color w:val="auto"/>
              </w:rPr>
            </w:pPr>
          </w:p>
        </w:tc>
        <w:tc>
          <w:tcPr>
            <w:tcW w:w="8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Whether it is authorized to exercise corporate trust powers.</w:t>
            </w:r>
          </w:p>
        </w:tc>
      </w:tr>
      <w:tr>
        <w:trPr>
          <w:trHeight w:val="234"/>
        </w:trPr>
        <w:tc>
          <w:tcPr>
            <w:tcW w:w="760" w:type="dxa"/>
            <w:vAlign w:val="bottom"/>
          </w:tcPr>
          <w:p>
            <w:pPr>
              <w:spacing w:after="0"/>
              <w:rPr>
                <w:sz w:val="20"/>
                <w:szCs w:val="20"/>
                <w:color w:val="auto"/>
              </w:rPr>
            </w:pPr>
          </w:p>
        </w:tc>
        <w:tc>
          <w:tcPr>
            <w:tcW w:w="87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Yes</w:t>
            </w:r>
          </w:p>
        </w:tc>
      </w:tr>
      <w:tr>
        <w:trPr>
          <w:trHeight w:val="441"/>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7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 xml:space="preserve">AFFILIATIONS WITH THE OBLIGOR. </w:t>
            </w:r>
            <w:r>
              <w:rPr>
                <w:rFonts w:ascii="Times New Roman" w:cs="Times New Roman" w:eastAsia="Times New Roman" w:hAnsi="Times New Roman"/>
                <w:sz w:val="18"/>
                <w:szCs w:val="18"/>
                <w:i w:val="1"/>
                <w:iCs w:val="1"/>
                <w:color w:val="auto"/>
                <w:w w:val="99"/>
              </w:rPr>
              <w:t>If the obligor is an affiliate of the Trustee, describe each such affiliation.</w:t>
            </w:r>
          </w:p>
        </w:tc>
      </w:tr>
      <w:tr>
        <w:trPr>
          <w:trHeight w:val="234"/>
        </w:trPr>
        <w:tc>
          <w:tcPr>
            <w:tcW w:w="760" w:type="dxa"/>
            <w:vAlign w:val="bottom"/>
          </w:tcPr>
          <w:p>
            <w:pPr>
              <w:spacing w:after="0"/>
              <w:rPr>
                <w:sz w:val="20"/>
                <w:szCs w:val="20"/>
                <w:color w:val="auto"/>
              </w:rPr>
            </w:pPr>
          </w:p>
        </w:tc>
        <w:tc>
          <w:tcPr>
            <w:tcW w:w="87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221" w:lineRule="exact"/>
        <w:rPr>
          <w:sz w:val="20"/>
          <w:szCs w:val="20"/>
          <w:color w:val="auto"/>
        </w:rPr>
      </w:pPr>
    </w:p>
    <w:p>
      <w:pPr>
        <w:ind w:left="980" w:hanging="984"/>
        <w:spacing w:after="0" w:line="284"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Items 3-15</w:t>
      </w:r>
      <w:r>
        <w:rPr>
          <w:sz w:val="20"/>
          <w:szCs w:val="20"/>
          <w:color w:val="auto"/>
        </w:rPr>
        <w:tab/>
      </w:r>
      <w:r>
        <w:rPr>
          <w:rFonts w:ascii="Times New Roman" w:cs="Times New Roman" w:eastAsia="Times New Roman" w:hAnsi="Times New Roman"/>
          <w:sz w:val="18"/>
          <w:szCs w:val="18"/>
          <w:i w:val="1"/>
          <w:iCs w:val="1"/>
          <w:color w:val="auto"/>
        </w:rPr>
        <w:t>Items 3-15 are not applicable because to the best of the Trustee’s knowledge, the obligor is not in default under any Indenture for which the Trustee acts as Trustee.</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 xml:space="preserve">LIST OF EXHIBITS: </w:t>
      </w:r>
      <w:r>
        <w:rPr>
          <w:rFonts w:ascii="Times New Roman" w:cs="Times New Roman" w:eastAsia="Times New Roman" w:hAnsi="Times New Roman"/>
          <w:sz w:val="18"/>
          <w:szCs w:val="18"/>
          <w:i w:val="1"/>
          <w:iCs w:val="1"/>
          <w:color w:val="auto"/>
        </w:rPr>
        <w:t>List below all exhibits filed as a part of this statement of eligibility and qualification.</w:t>
      </w:r>
    </w:p>
    <w:p>
      <w:pPr>
        <w:spacing w:after="0" w:line="135" w:lineRule="exact"/>
        <w:rPr>
          <w:sz w:val="20"/>
          <w:szCs w:val="20"/>
          <w:color w:val="auto"/>
        </w:rPr>
      </w:pPr>
    </w:p>
    <w:p>
      <w:pPr>
        <w:ind w:left="1420" w:hanging="439"/>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Articles of Association of the Trustee, attached as Exhibit 1.</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authority of the Trustee to commence business, attached as Exhibit 2.</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authorization of the Trustee to exercise corporate trust powers, included as Exhibit 2.</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existing bylaws of the Trustee, attached as Exhibit 4.</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Indenture referred to in Item 4. Not applicable.</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Trustee required by Section 321(b) of the Trust Indenture Act of 1939, attached as Exhibit 6.</w:t>
      </w:r>
    </w:p>
    <w:p>
      <w:pPr>
        <w:spacing w:after="0" w:line="130" w:lineRule="exact"/>
        <w:rPr>
          <w:rFonts w:ascii="Times New Roman" w:cs="Times New Roman" w:eastAsia="Times New Roman" w:hAnsi="Times New Roman"/>
          <w:sz w:val="18"/>
          <w:szCs w:val="18"/>
          <w:color w:val="auto"/>
        </w:rPr>
      </w:pPr>
    </w:p>
    <w:p>
      <w:pPr>
        <w:ind w:left="1420" w:right="120" w:hanging="439"/>
        <w:spacing w:after="0" w:line="282" w:lineRule="auto"/>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Condition of the Trustee as of December 31, 2024, published pursuant to law or the requirements of its supervising or examining authority, attached as Exhibit 7.</w:t>
      </w:r>
    </w:p>
    <w:p>
      <w:pPr>
        <w:sectPr>
          <w:pgSz w:w="11900" w:h="16838" w:orient="portrait"/>
          <w:cols w:equalWidth="0" w:num="1">
            <w:col w:w="10740"/>
          </w:cols>
          <w:pgMar w:left="440" w:top="257" w:right="71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30" w:lineRule="auto"/>
        <w:rPr>
          <w:sz w:val="20"/>
          <w:szCs w:val="20"/>
          <w:color w:val="auto"/>
        </w:rPr>
      </w:pPr>
      <w:r>
        <w:rPr>
          <w:rFonts w:ascii="Times New Roman" w:cs="Times New Roman" w:eastAsia="Times New Roman" w:hAnsi="Times New Roman"/>
          <w:sz w:val="18"/>
          <w:szCs w:val="18"/>
          <w:color w:val="auto"/>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 authorized, all in the City of Dallas, State of Texas on the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March, 2025.</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Misty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Misty Gutierrez</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Vice President</w:t>
      </w:r>
    </w:p>
    <w:p>
      <w:pPr>
        <w:sectPr>
          <w:pgSz w:w="11900" w:h="16838" w:orient="portrait"/>
          <w:cols w:equalWidth="0" w:num="1">
            <w:col w:w="11000"/>
          </w:cols>
          <w:pgMar w:left="440" w:top="266" w:right="459" w:bottom="1440" w:gutter="0" w:footer="0" w:header="0"/>
        </w:sectPr>
      </w:pPr>
    </w:p>
    <w:bookmarkStart w:id="56" w:name="page57"/>
    <w:bookmarkEnd w:id="56"/>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 S. BANK TRUST COMPANY, NATIONAL ASSOCIATION</w:t>
      </w:r>
    </w:p>
    <w:p>
      <w:pPr>
        <w:spacing w:after="0" w:line="207" w:lineRule="exact"/>
        <w:rPr>
          <w:sz w:val="20"/>
          <w:szCs w:val="20"/>
          <w:color w:val="auto"/>
        </w:rPr>
      </w:pPr>
    </w:p>
    <w:p>
      <w:pPr>
        <w:ind w:left="4" w:right="540"/>
        <w:spacing w:after="0" w:line="282" w:lineRule="auto"/>
        <w:rPr>
          <w:sz w:val="20"/>
          <w:szCs w:val="20"/>
          <w:color w:val="auto"/>
        </w:rPr>
      </w:pPr>
      <w:r>
        <w:rPr>
          <w:rFonts w:ascii="Times New Roman" w:cs="Times New Roman" w:eastAsia="Times New Roman" w:hAnsi="Times New Roman"/>
          <w:sz w:val="18"/>
          <w:szCs w:val="18"/>
          <w:color w:val="auto"/>
        </w:rPr>
        <w:t>For the purpose of organizing an association (the “Association”) to perform any lawful activities of national banks, the undersigned enter into the following Articles of Association:</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title of this Association shall be U. S. Bank Trust Company, National Association.</w:t>
      </w:r>
    </w:p>
    <w:p>
      <w:pPr>
        <w:spacing w:after="0" w:line="225" w:lineRule="exact"/>
        <w:rPr>
          <w:sz w:val="20"/>
          <w:szCs w:val="20"/>
          <w:color w:val="auto"/>
        </w:rPr>
      </w:pPr>
    </w:p>
    <w:p>
      <w:pPr>
        <w:jc w:val="both"/>
        <w:ind w:left="4"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main office of the Association shall be in the city of Portland, county of Multnomah, state of Oregon. The business of the Association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limited to fiduciary powers and the support of activities incidental to the exercise of those powers. The Association may not expand or alter its business beyond that stated in this article without the prior approval of the Comptroller of the Currency.</w:t>
      </w:r>
    </w:p>
    <w:p>
      <w:pPr>
        <w:spacing w:after="0" w:line="171" w:lineRule="exact"/>
        <w:rPr>
          <w:sz w:val="20"/>
          <w:szCs w:val="20"/>
          <w:color w:val="auto"/>
        </w:rPr>
      </w:pPr>
    </w:p>
    <w:p>
      <w:pPr>
        <w:jc w:val="both"/>
        <w:ind w:left="4"/>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THIRD. </w:t>
      </w:r>
      <w:r>
        <w:rPr>
          <w:rFonts w:ascii="Times New Roman" w:cs="Times New Roman" w:eastAsia="Times New Roman" w:hAnsi="Times New Roman"/>
          <w:sz w:val="17"/>
          <w:szCs w:val="17"/>
          <w:color w:val="auto"/>
        </w:rPr>
        <w:t>The board of directors of the Association shall consist of not less than five nor more than twenty-five persons, the exact number to be fixed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w:t>
      </w:r>
    </w:p>
    <w:p>
      <w:pPr>
        <w:ind w:left="4" w:right="60" w:hanging="4"/>
        <w:spacing w:after="0" w:line="260" w:lineRule="auto"/>
        <w:tabs>
          <w:tab w:leader="none" w:pos="31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that person’s most recent election to the board of directors, whichever is more recent. Any combination of common or preferred stock of the Association or holding company may be used.</w:t>
      </w:r>
    </w:p>
    <w:p>
      <w:pPr>
        <w:spacing w:after="0" w:line="181"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spacing w:after="0" w:line="183" w:lineRule="exact"/>
        <w:rPr>
          <w:sz w:val="20"/>
          <w:szCs w:val="20"/>
          <w:color w:val="auto"/>
        </w:rPr>
      </w:pPr>
    </w:p>
    <w:p>
      <w:pPr>
        <w:ind w:left="4" w:right="260"/>
        <w:spacing w:after="0" w:line="261" w:lineRule="auto"/>
        <w:rPr>
          <w:sz w:val="20"/>
          <w:szCs w:val="20"/>
          <w:color w:val="auto"/>
        </w:rPr>
      </w:pPr>
      <w:r>
        <w:rPr>
          <w:rFonts w:ascii="Times New Roman" w:cs="Times New Roman" w:eastAsia="Times New Roman" w:hAnsi="Times New Roman"/>
          <w:sz w:val="18"/>
          <w:szCs w:val="18"/>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1004"/>
          </w:cols>
          <w:pgMar w:left="436" w:top="266" w:right="459" w:bottom="1440" w:gutter="0" w:footer="0" w:header="0"/>
        </w:sectPr>
      </w:pPr>
    </w:p>
    <w:bookmarkStart w:id="57" w:name="page58"/>
    <w:bookmarkEnd w:id="57"/>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FOURTH. </w:t>
      </w:r>
      <w:r>
        <w:rPr>
          <w:rFonts w:ascii="Times New Roman" w:cs="Times New Roman" w:eastAsia="Times New Roman" w:hAnsi="Times New Roman"/>
          <w:sz w:val="18"/>
          <w:szCs w:val="18"/>
          <w:color w:val="auto"/>
        </w:rPr>
        <w:t>There shall be an annual meeting of the shareholders to elect directors and transact whatever other business may be brought before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It shall be held at the main office or any 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spacing w:after="0" w:line="18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spacing w:after="0" w:line="17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The authorized amount of capital stock of the Association shall be 1,000,000 shares of common stock of the par value of ten dollars ($10)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said capital stock may be increased or decreased from time to time, according to the provisions of the laws of the United States. The Association shall have only one class of capital stock.</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58" w:name="page59"/>
    <w:bookmarkEnd w:id="58"/>
    <w:p>
      <w:pPr>
        <w:ind w:left="4"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specified in the Articles of Association or required by law, all shares of voting stock shall be voted together as a class, on any matters requiring shareholder approval.</w:t>
      </w:r>
    </w:p>
    <w:p>
      <w:pPr>
        <w:spacing w:after="0" w:line="162"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76"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176" w:lineRule="exact"/>
        <w:rPr>
          <w:sz w:val="20"/>
          <w:szCs w:val="20"/>
          <w:color w:val="auto"/>
        </w:rPr>
      </w:pPr>
    </w:p>
    <w:p>
      <w:pPr>
        <w:ind w:left="4"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SIXTH. </w:t>
      </w:r>
      <w:r>
        <w:rPr>
          <w:rFonts w:ascii="Times New Roman" w:cs="Times New Roman" w:eastAsia="Times New Roman" w:hAnsi="Times New Roman"/>
          <w:sz w:val="18"/>
          <w:szCs w:val="18"/>
          <w:color w:val="auto"/>
        </w:rPr>
        <w:t>The board of directors shall appoint one of its members president of this Association and one of its members chairperson of the board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board of directors shall have the power to:</w:t>
      </w:r>
    </w:p>
    <w:p>
      <w:pPr>
        <w:spacing w:after="0" w:line="131" w:lineRule="exact"/>
        <w:rPr>
          <w:sz w:val="20"/>
          <w:szCs w:val="20"/>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the duties of the officers, employees, and agents of the Association.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the performance of its duties, but not the responsibility for its duties, to the officers, employees, and agents of the Association.</w:t>
      </w:r>
    </w:p>
    <w:p>
      <w:pPr>
        <w:spacing w:after="0" w:line="130" w:lineRule="exact"/>
        <w:rPr>
          <w:rFonts w:ascii="Times New Roman" w:cs="Times New Roman" w:eastAsia="Times New Roman" w:hAnsi="Times New Roman"/>
          <w:sz w:val="18"/>
          <w:szCs w:val="18"/>
          <w:color w:val="auto"/>
        </w:rPr>
      </w:pPr>
    </w:p>
    <w:p>
      <w:pPr>
        <w:ind w:left="424" w:right="460" w:hanging="424"/>
        <w:spacing w:after="0" w:line="282" w:lineRule="auto"/>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 the compensation and enter employment contracts with its officers and employees upon reasonable terms and conditions consistent with applicable law.</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Dismiss officers and employees.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bonds from officers and employees and to fix the penalty thereof.</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written policies authorized by the Association’s management or committees of the board.</w:t>
      </w:r>
    </w:p>
    <w:p>
      <w:pPr>
        <w:spacing w:after="0" w:line="130" w:lineRule="exact"/>
        <w:rPr>
          <w:rFonts w:ascii="Times New Roman" w:cs="Times New Roman" w:eastAsia="Times New Roman" w:hAnsi="Times New Roman"/>
          <w:sz w:val="18"/>
          <w:szCs w:val="18"/>
          <w:color w:val="auto"/>
        </w:rPr>
      </w:pPr>
    </w:p>
    <w:p>
      <w:pPr>
        <w:jc w:val="both"/>
        <w:ind w:left="424" w:right="40" w:hanging="424"/>
        <w:spacing w:after="0" w:line="266" w:lineRule="auto"/>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4"/>
          </w:cols>
          <w:pgMar w:left="436" w:top="270" w:right="499" w:bottom="1440" w:gutter="0" w:footer="0" w:header="0"/>
        </w:sectPr>
      </w:pPr>
    </w:p>
    <w:bookmarkStart w:id="59" w:name="page60"/>
    <w:bookmarkEnd w:id="59"/>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Manage and administer the business and affairs of the Association.</w:t>
      </w:r>
    </w:p>
    <w:p>
      <w:pPr>
        <w:spacing w:after="0" w:line="130" w:lineRule="exact"/>
        <w:rPr>
          <w:rFonts w:ascii="Times New Roman" w:cs="Times New Roman" w:eastAsia="Times New Roman" w:hAnsi="Times New Roman"/>
          <w:sz w:val="18"/>
          <w:szCs w:val="18"/>
          <w:color w:val="auto"/>
        </w:rPr>
      </w:pPr>
    </w:p>
    <w:p>
      <w:pPr>
        <w:ind w:left="424" w:right="700" w:hanging="424"/>
        <w:spacing w:after="0" w:line="282" w:lineRule="auto"/>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initial Bylaws, not inconsistent with law or the Articles of Association, for managing the business and regulating the affairs of the Association.</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repeal Bylaws, except to the extent that the Articles of Association reserve this power in whole or in part to the shareholders.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contracts.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perform all acts that are legal for a board of directors to perform.</w:t>
      </w:r>
    </w:p>
    <w:p>
      <w:pPr>
        <w:spacing w:after="0" w:line="221" w:lineRule="exact"/>
        <w:rPr>
          <w:sz w:val="20"/>
          <w:szCs w:val="20"/>
          <w:color w:val="auto"/>
        </w:rPr>
      </w:pPr>
    </w:p>
    <w:p>
      <w:pPr>
        <w:ind w:left="4"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SEVENTH. </w:t>
      </w:r>
      <w:r>
        <w:rPr>
          <w:rFonts w:ascii="Times New Roman" w:cs="Times New Roman" w:eastAsia="Times New Roman" w:hAnsi="Times New Roman"/>
          <w:sz w:val="18"/>
          <w:szCs w:val="18"/>
          <w:color w:val="auto"/>
        </w:rPr>
        <w:t>The board of directors shall have the power to change the location of the main office to any authorized branch within the limits of the 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EIGHTH. </w:t>
      </w:r>
      <w:r>
        <w:rPr>
          <w:rFonts w:ascii="Times New Roman" w:cs="Times New Roman" w:eastAsia="Times New Roman" w:hAnsi="Times New Roman"/>
          <w:sz w:val="18"/>
          <w:szCs w:val="18"/>
          <w:color w:val="auto"/>
        </w:rPr>
        <w:t>The corporate existence of this Association shall continue until termination according to the laws of the United States.</w:t>
      </w:r>
    </w:p>
    <w:p>
      <w:pPr>
        <w:spacing w:after="0" w:line="225" w:lineRule="exact"/>
        <w:rPr>
          <w:sz w:val="20"/>
          <w:szCs w:val="20"/>
          <w:color w:val="auto"/>
        </w:rPr>
      </w:pPr>
    </w:p>
    <w:p>
      <w:pPr>
        <w:ind w:left="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NINTH. </w:t>
      </w:r>
      <w:r>
        <w:rPr>
          <w:rFonts w:ascii="Times New Roman" w:cs="Times New Roman" w:eastAsia="Times New Roman" w:hAnsi="Times New Roman"/>
          <w:sz w:val="18"/>
          <w:szCs w:val="18"/>
          <w:color w:val="auto"/>
        </w:rPr>
        <w:t>The board of directors of the Association, or any shareholder owning, in the aggregate, not less than 25 percent of the stock of the Association,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spacing w:after="0" w:line="182" w:lineRule="exact"/>
        <w:rPr>
          <w:sz w:val="20"/>
          <w:szCs w:val="20"/>
          <w:color w:val="auto"/>
        </w:rPr>
      </w:pPr>
    </w:p>
    <w:p>
      <w:pPr>
        <w:ind w:left="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TENTH. </w:t>
      </w:r>
      <w:r>
        <w:rPr>
          <w:rFonts w:ascii="Times New Roman" w:cs="Times New Roman" w:eastAsia="Times New Roman" w:hAnsi="Times New Roman"/>
          <w:sz w:val="18"/>
          <w:szCs w:val="18"/>
          <w:color w:val="auto"/>
        </w:rPr>
        <w:t>These Articles of Association may be amended at any regular or special meeting of the shareholders by the affirmative vote of the holders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0964"/>
          </w:cols>
          <w:pgMar w:left="436" w:top="270" w:right="499" w:bottom="1440" w:gutter="0" w:footer="0" w:header="0"/>
        </w:sectPr>
      </w:pPr>
    </w:p>
    <w:bookmarkStart w:id="60" w:name="page61"/>
    <w:bookmarkEnd w:id="60"/>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we have hereunto set our hands this 11</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of June, 1997.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T. Grubb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T. Grubb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D. Sznewajs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D. Sznewajs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Dwight V.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Dwight V.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 K. Chatterjee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 K. Chatterjee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Lane</w:t>
      </w:r>
    </w:p>
    <w:p>
      <w:pPr>
        <w:sectPr>
          <w:pgSz w:w="11900" w:h="16838" w:orient="portrait"/>
          <w:cols w:equalWidth="0" w:num="1">
            <w:col w:w="10019"/>
          </w:cols>
          <w:pgMar w:left="440" w:top="270" w:right="1440" w:bottom="1440" w:gutter="0" w:footer="0" w:header="0"/>
        </w:sectPr>
      </w:pPr>
    </w:p>
    <w:bookmarkStart w:id="61" w:name="page62"/>
    <w:bookmarkEnd w:id="61"/>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394335" cy="411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394335" cy="411480"/>
                    </a:xfrm>
                    <a:prstGeom prst="rect">
                      <a:avLst/>
                    </a:prstGeom>
                    <a:noFill/>
                  </pic:spPr>
                </pic:pic>
              </a:graphicData>
            </a:graphic>
          </wp:anchor>
        </w:drawing>
      </w:r>
    </w:p>
    <w:p>
      <w:pPr>
        <w:spacing w:after="0" w:line="331" w:lineRule="exact"/>
        <w:rPr>
          <w:sz w:val="20"/>
          <w:szCs w:val="20"/>
          <w:color w:val="auto"/>
        </w:rPr>
      </w:pPr>
    </w:p>
    <w:p>
      <w:pPr>
        <w:ind w:left="784"/>
        <w:spacing w:after="0"/>
        <w:rPr>
          <w:sz w:val="20"/>
          <w:szCs w:val="20"/>
          <w:color w:val="auto"/>
        </w:rPr>
      </w:pPr>
      <w:r>
        <w:rPr>
          <w:rFonts w:ascii="Times New Roman" w:cs="Times New Roman" w:eastAsia="Times New Roman" w:hAnsi="Times New Roman"/>
          <w:sz w:val="18"/>
          <w:szCs w:val="18"/>
          <w:color w:val="auto"/>
        </w:rPr>
        <w:t>Office of the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17145</wp:posOffset>
            </wp:positionV>
            <wp:extent cx="64979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Washington, DC 20219</w:t>
      </w:r>
    </w:p>
    <w:p>
      <w:pPr>
        <w:spacing w:after="0" w:line="316" w:lineRule="exact"/>
        <w:rPr>
          <w:sz w:val="20"/>
          <w:szCs w:val="20"/>
          <w:color w:val="auto"/>
        </w:rPr>
      </w:pPr>
    </w:p>
    <w:p>
      <w:pPr>
        <w:ind w:left="2444"/>
        <w:spacing w:after="0"/>
        <w:rPr>
          <w:sz w:val="20"/>
          <w:szCs w:val="20"/>
          <w:color w:val="auto"/>
        </w:rPr>
      </w:pPr>
      <w:r>
        <w:rPr>
          <w:rFonts w:ascii="Times New Roman" w:cs="Times New Roman" w:eastAsia="Times New Roman" w:hAnsi="Times New Roman"/>
          <w:sz w:val="18"/>
          <w:szCs w:val="18"/>
          <w:b w:val="1"/>
          <w:bCs w:val="1"/>
          <w:color w:val="auto"/>
        </w:rPr>
        <w:t>CERTIFICATE OF CORPORATE EXISTENCE AND FIDUCIARY POWERS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Michael J. Hsu, Acting Comptroller of the Currency, do hereby certify that:</w:t>
      </w:r>
    </w:p>
    <w:p>
      <w:pPr>
        <w:spacing w:after="0" w:line="117" w:lineRule="exact"/>
        <w:rPr>
          <w:sz w:val="20"/>
          <w:szCs w:val="20"/>
          <w:color w:val="auto"/>
        </w:rPr>
      </w:pPr>
    </w:p>
    <w:p>
      <w:pPr>
        <w:ind w:left="4" w:right="220" w:hanging="4"/>
        <w:spacing w:after="0" w:line="282" w:lineRule="auto"/>
        <w:tabs>
          <w:tab w:leader="none" w:pos="18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53" w:lineRule="exact"/>
        <w:rPr>
          <w:rFonts w:ascii="Times New Roman" w:cs="Times New Roman" w:eastAsia="Times New Roman" w:hAnsi="Times New Roman"/>
          <w:sz w:val="18"/>
          <w:szCs w:val="18"/>
          <w:color w:val="auto"/>
        </w:rPr>
      </w:pPr>
    </w:p>
    <w:p>
      <w:pPr>
        <w:ind w:left="4" w:right="100" w:hanging="4"/>
        <w:spacing w:after="0" w:line="282" w:lineRule="auto"/>
        <w:tabs>
          <w:tab w:leader="none" w:pos="18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Bank Trust Company National Association,” Portland, Oregon (Charter No. 23412), is a national banking association formed under the laws of the United States and is authorized thereunder to transact the business of banking and exercise fiduciary powers on the date of this certificate.</w:t>
      </w:r>
    </w:p>
    <w:p>
      <w:pPr>
        <w:spacing w:after="0" w:line="162" w:lineRule="exact"/>
        <w:rPr>
          <w:sz w:val="20"/>
          <w:szCs w:val="20"/>
          <w:color w:val="auto"/>
        </w:rPr>
      </w:pPr>
    </w:p>
    <w:p>
      <w:pPr>
        <w:ind w:left="4" w:right="500"/>
        <w:spacing w:after="0" w:line="282" w:lineRule="auto"/>
        <w:rPr>
          <w:sz w:val="20"/>
          <w:szCs w:val="20"/>
          <w:color w:val="auto"/>
        </w:rPr>
      </w:pPr>
      <w:r>
        <w:rPr>
          <w:rFonts w:ascii="Times New Roman" w:cs="Times New Roman" w:eastAsia="Times New Roman" w:hAnsi="Times New Roman"/>
          <w:sz w:val="18"/>
          <w:szCs w:val="18"/>
          <w:color w:val="auto"/>
        </w:rPr>
        <w:t>IN TESTIMONY WHEREOF, today, December 11, 2024, I have hereunto subscribed my name and caused my seal of office to be affixed to these presents at the U.S. Department of the Treasury, in the City of Washington,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131445</wp:posOffset>
            </wp:positionV>
            <wp:extent cx="2219960" cy="23914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221996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2025-00299-C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66" w:right="439" w:bottom="1440" w:gutter="0" w:footer="0" w:header="0"/>
        </w:sectPr>
      </w:pPr>
    </w:p>
    <w:bookmarkStart w:id="62" w:name="page63"/>
    <w:bookmarkEnd w:id="62"/>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4</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 BANK TRUST COMPANY, NATIONAL ASSOCIATION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BYLAWS</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ARTICLE I</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Meetings of Shareholders</w:t>
      </w:r>
    </w:p>
    <w:p>
      <w:pPr>
        <w:spacing w:after="0" w:line="20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spacing w:after="0" w:line="18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Every such special meeting, unless otherwise provided by law, shall be called upon not less than ten (10) days nor more than sixty (60) days prior notice stating the purpose of the meeting.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Nominations for Directors</w:t>
      </w:r>
      <w:r>
        <w:rPr>
          <w:rFonts w:ascii="Times New Roman" w:cs="Times New Roman" w:eastAsia="Times New Roman" w:hAnsi="Times New Roman"/>
          <w:sz w:val="18"/>
          <w:szCs w:val="18"/>
          <w:color w:val="auto"/>
        </w:rPr>
        <w:t>. Nominations for election to the Board may be made by the Board or by any shareholder.</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Shareholders may vote at any meeting of the shareholders by proxies duly authorized in writing. Proxies shall be valid only for one meeting and any adjournments of such meeting and shall be filed with the records of the meeting.</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The record date for determining shareholders entitled to notice and to vote at any meeting will be thirty days before the date of such meeting, unless otherwise determined by the Board.</w:t>
      </w:r>
    </w:p>
    <w:p>
      <w:pPr>
        <w:sectPr>
          <w:pgSz w:w="11900" w:h="16838" w:orient="portrait"/>
          <w:cols w:equalWidth="0" w:num="1">
            <w:col w:w="10960"/>
          </w:cols>
          <w:pgMar w:left="440" w:top="266" w:right="499" w:bottom="1440" w:gutter="0" w:footer="0" w:header="0"/>
        </w:sectPr>
      </w:pPr>
    </w:p>
    <w:bookmarkStart w:id="63" w:name="page64"/>
    <w:bookmarkEnd w:id="63"/>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1.6. </w:t>
      </w:r>
      <w:r>
        <w:rPr>
          <w:rFonts w:ascii="Times New Roman" w:cs="Times New Roman" w:eastAsia="Times New Roman" w:hAnsi="Times New Roman"/>
          <w:sz w:val="18"/>
          <w:szCs w:val="18"/>
          <w:u w:val="single" w:color="auto"/>
          <w:color w:val="auto"/>
        </w:rPr>
        <w:t>Quorum and Voting</w:t>
      </w:r>
      <w:r>
        <w:rPr>
          <w:rFonts w:ascii="Times New Roman" w:cs="Times New Roman" w:eastAsia="Times New Roman" w:hAnsi="Times New Roman"/>
          <w:sz w:val="18"/>
          <w:szCs w:val="18"/>
          <w:color w:val="auto"/>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Inspectors</w:t>
      </w:r>
      <w:r>
        <w:rPr>
          <w:rFonts w:ascii="Times New Roman" w:cs="Times New Roman" w:eastAsia="Times New Roman" w:hAnsi="Times New Roman"/>
          <w:sz w:val="18"/>
          <w:szCs w:val="18"/>
          <w:color w:val="auto"/>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Waiver and Consent</w:t>
      </w:r>
      <w:r>
        <w:rPr>
          <w:rFonts w:ascii="Times New Roman" w:cs="Times New Roman" w:eastAsia="Times New Roman" w:hAnsi="Times New Roman"/>
          <w:sz w:val="18"/>
          <w:szCs w:val="18"/>
          <w:color w:val="auto"/>
        </w:rPr>
        <w:t>. The shareholders may act without notice or a meeting by a unanimous written consent by all shareholders.</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Remote Meetings</w:t>
      </w:r>
      <w:r>
        <w:rPr>
          <w:rFonts w:ascii="Times New Roman" w:cs="Times New Roman" w:eastAsia="Times New Roman" w:hAnsi="Times New Roman"/>
          <w:sz w:val="18"/>
          <w:szCs w:val="18"/>
          <w:color w:val="auto"/>
        </w:rPr>
        <w:t>. The Board shall have the right to determine that a shareholder meeting not be held at a place, but instead be held solely by means of remote communication in the manner and to the extent permitted by the General Corporation Law of the State of Delaware.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0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The Board shall have the power to manage and administer the business and affairs of the Association. Except as expressly limited by law, all corporate powers of the Association shall be vested in and may be exercised by the Board.</w:t>
      </w:r>
    </w:p>
    <w:p>
      <w:pPr>
        <w:spacing w:after="0" w:line="162"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Term of Office</w:t>
      </w:r>
      <w:r>
        <w:rPr>
          <w:rFonts w:ascii="Times New Roman" w:cs="Times New Roman" w:eastAsia="Times New Roman" w:hAnsi="Times New Roman"/>
          <w:sz w:val="18"/>
          <w:szCs w:val="18"/>
          <w:color w:val="auto"/>
        </w:rPr>
        <w:t>. The directors of this Association shall hold office for one year and until their successors are duly elected and qualified, or until their earlier resignation or removal.</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In addition to the foregoing, the Board shall have and may exercise all of the powers granted to or conferred upon it by the Articles of Association, the Bylaws and by law.</w:t>
      </w:r>
    </w:p>
    <w:p>
      <w:pPr>
        <w:spacing w:after="0" w:line="162"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As provided in the Articles of Association, the Board of this Association shall consist of no less than five nor more than twenty-five members, unless the OCC has exempted the Association from the twenty-five- 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w:t>
      </w:r>
    </w:p>
    <w:p>
      <w:pPr>
        <w:sectPr>
          <w:pgSz w:w="11900" w:h="16838" w:orient="portrait"/>
          <w:cols w:equalWidth="0" w:num="1">
            <w:col w:w="10980"/>
          </w:cols>
          <w:pgMar w:left="440" w:top="270" w:right="479" w:bottom="1440" w:gutter="0" w:footer="0" w:header="0"/>
        </w:sectPr>
      </w:pPr>
    </w:p>
    <w:bookmarkStart w:id="64" w:name="page65"/>
    <w:bookmarkEnd w:id="6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spacing w:after="0" w:line="187"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Organization Meeting</w:t>
      </w:r>
      <w:r>
        <w:rPr>
          <w:rFonts w:ascii="Times New Roman" w:cs="Times New Roman" w:eastAsia="Times New Roman" w:hAnsi="Times New Roman"/>
          <w:sz w:val="18"/>
          <w:szCs w:val="18"/>
          <w:color w:val="auto"/>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The regular meetings of the Board shall be held, without notice, as the Chairman or President may designate and deem suitable.</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spacing w:after="0" w:line="187"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Quorum and Necessary Vote</w:t>
      </w:r>
      <w:r>
        <w:rPr>
          <w:rFonts w:ascii="Times New Roman" w:cs="Times New Roman" w:eastAsia="Times New Roman" w:hAnsi="Times New Roman"/>
          <w:sz w:val="18"/>
          <w:szCs w:val="18"/>
          <w:color w:val="auto"/>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sectPr>
          <w:pgSz w:w="11900" w:h="16838" w:orient="portrait"/>
          <w:cols w:equalWidth="0" w:num="1">
            <w:col w:w="10940"/>
          </w:cols>
          <w:pgMar w:left="440" w:top="270" w:right="519" w:bottom="1440" w:gutter="0" w:footer="0" w:header="0"/>
        </w:sectPr>
      </w:pPr>
    </w:p>
    <w:bookmarkStart w:id="65" w:name="page66"/>
    <w:bookmarkEnd w:id="65"/>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2.9. </w:t>
      </w:r>
      <w:r>
        <w:rPr>
          <w:rFonts w:ascii="Times New Roman" w:cs="Times New Roman" w:eastAsia="Times New Roman" w:hAnsi="Times New Roman"/>
          <w:sz w:val="18"/>
          <w:szCs w:val="18"/>
          <w:u w:val="single" w:color="auto"/>
          <w:color w:val="auto"/>
        </w:rPr>
        <w:t>Written Consent</w:t>
      </w:r>
      <w:r>
        <w:rPr>
          <w:rFonts w:ascii="Times New Roman" w:cs="Times New Roman" w:eastAsia="Times New Roman" w:hAnsi="Times New Roman"/>
          <w:sz w:val="18"/>
          <w:szCs w:val="18"/>
          <w:color w:val="auto"/>
        </w:rPr>
        <w:t>. Except as otherwise required by applicable laws and regulations, the Board may act without a meeting by a unanimous written consent by all directors, to be filed with the Secretary of the Association as part of the corporate records.</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Remote Meetings</w:t>
      </w:r>
      <w:r>
        <w:rPr>
          <w:rFonts w:ascii="Times New Roman" w:cs="Times New Roman" w:eastAsia="Times New Roman" w:hAnsi="Times New Roman"/>
          <w:sz w:val="18"/>
          <w:szCs w:val="18"/>
          <w:color w:val="auto"/>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When any vacancy occurs among the directors, the remaining members of the Board may appoint a director to fill such vacancy at any regular meeting of the Board, or at a special meeting called for that purpose.</w:t>
      </w:r>
    </w:p>
    <w:p>
      <w:pPr>
        <w:spacing w:after="0" w:line="37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u w:val="single" w:color="auto"/>
          <w:color w:val="auto"/>
        </w:rPr>
        <w:t>ARTICLE III</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u w:val="single" w:color="auto"/>
          <w:color w:val="auto"/>
        </w:rPr>
        <w:t>Committees</w:t>
      </w:r>
    </w:p>
    <w:p>
      <w:pPr>
        <w:spacing w:after="0" w:line="20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Advisory Board of Directors</w:t>
      </w:r>
      <w:r>
        <w:rPr>
          <w:rFonts w:ascii="Times New Roman" w:cs="Times New Roman" w:eastAsia="Times New Roman" w:hAnsi="Times New Roman"/>
          <w:sz w:val="18"/>
          <w:szCs w:val="18"/>
          <w:color w:val="auto"/>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Trust Audit Committee</w:t>
      </w:r>
      <w:r>
        <w:rPr>
          <w:rFonts w:ascii="Times New Roman" w:cs="Times New Roman" w:eastAsia="Times New Roman" w:hAnsi="Times New Roman"/>
          <w:sz w:val="18"/>
          <w:szCs w:val="18"/>
          <w:color w:val="auto"/>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sectPr>
          <w:pgSz w:w="11900" w:h="16838" w:orient="portrait"/>
          <w:cols w:equalWidth="0" w:num="1">
            <w:col w:w="10920"/>
          </w:cols>
          <w:pgMar w:left="440" w:top="270" w:right="539" w:bottom="1440" w:gutter="0" w:footer="0" w:header="0"/>
        </w:sectPr>
      </w:pPr>
    </w:p>
    <w:bookmarkStart w:id="66" w:name="page67"/>
    <w:bookmarkEnd w:id="66"/>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Audit Committee of the financial holding company that is the ultimate parent of this Association, fulfilling the function of the trust audit committee:</w:t>
      </w:r>
    </w:p>
    <w:p>
      <w:pPr>
        <w:spacing w:after="0" w:line="54" w:lineRule="exact"/>
        <w:rPr>
          <w:sz w:val="20"/>
          <w:szCs w:val="20"/>
          <w:color w:val="auto"/>
        </w:rPr>
      </w:pPr>
    </w:p>
    <w:p>
      <w:pPr>
        <w:ind w:left="440" w:right="20" w:hanging="4"/>
        <w:spacing w:after="0" w:line="282" w:lineRule="auto"/>
        <w:tabs>
          <w:tab w:leader="none" w:pos="6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not include any officers of the Association or an affiliate who participate significantly in the administration of the Association’s fiduciary activities; and</w:t>
      </w:r>
    </w:p>
    <w:p>
      <w:pPr>
        <w:spacing w:after="0" w:line="53" w:lineRule="exact"/>
        <w:rPr>
          <w:rFonts w:ascii="Times New Roman" w:cs="Times New Roman" w:eastAsia="Times New Roman" w:hAnsi="Times New Roman"/>
          <w:sz w:val="18"/>
          <w:szCs w:val="18"/>
          <w:color w:val="auto"/>
        </w:rPr>
      </w:pPr>
    </w:p>
    <w:p>
      <w:pPr>
        <w:ind w:left="440" w:right="260" w:hanging="4"/>
        <w:spacing w:after="0" w:line="282" w:lineRule="auto"/>
        <w:tabs>
          <w:tab w:leader="none" w:pos="6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consist of a majority of members who are not also members of any committee to which the Board has delegated power to manage and control the fiduciary activities of the Association.</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Executive Committee</w:t>
      </w:r>
      <w:r>
        <w:rPr>
          <w:rFonts w:ascii="Times New Roman" w:cs="Times New Roman" w:eastAsia="Times New Roman" w:hAnsi="Times New Roman"/>
          <w:sz w:val="18"/>
          <w:szCs w:val="18"/>
          <w:color w:val="auto"/>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spacing w:after="0" w:line="176"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Trust Management Committee</w:t>
      </w:r>
      <w:r>
        <w:rPr>
          <w:rFonts w:ascii="Times New Roman" w:cs="Times New Roman" w:eastAsia="Times New Roman" w:hAnsi="Times New Roman"/>
          <w:sz w:val="18"/>
          <w:szCs w:val="18"/>
          <w:color w:val="auto"/>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Other Committees</w:t>
      </w:r>
      <w:r>
        <w:rPr>
          <w:rFonts w:ascii="Times New Roman" w:cs="Times New Roman" w:eastAsia="Times New Roman" w:hAnsi="Times New Roman"/>
          <w:sz w:val="18"/>
          <w:szCs w:val="18"/>
          <w:color w:val="auto"/>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spacing w:after="0" w:line="18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Meetings, Minutes and Rules</w:t>
      </w:r>
      <w:r>
        <w:rPr>
          <w:rFonts w:ascii="Times New Roman" w:cs="Times New Roman" w:eastAsia="Times New Roman" w:hAnsi="Times New Roman"/>
          <w:sz w:val="18"/>
          <w:szCs w:val="18"/>
          <w:color w:val="auto"/>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sectPr>
          <w:pgSz w:w="11900" w:h="16838" w:orient="portrait"/>
          <w:cols w:equalWidth="0" w:num="1">
            <w:col w:w="11000"/>
          </w:cols>
          <w:pgMar w:left="440" w:top="270" w:right="45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0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spacing w:after="0" w:line="180"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Vice President</w:t>
      </w:r>
      <w:r>
        <w:rPr>
          <w:rFonts w:ascii="Times New Roman" w:cs="Times New Roman" w:eastAsia="Times New Roman" w:hAnsi="Times New Roman"/>
          <w:sz w:val="18"/>
          <w:szCs w:val="18"/>
          <w:color w:val="auto"/>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sectPr>
          <w:pgSz w:w="11900" w:h="16838" w:orient="portrait"/>
          <w:cols w:equalWidth="0" w:num="1">
            <w:col w:w="11000"/>
          </w:cols>
          <w:pgMar w:left="440" w:top="270" w:right="459" w:bottom="1440" w:gutter="0" w:footer="0" w:header="0"/>
        </w:sectPr>
      </w:pPr>
    </w:p>
    <w:bookmarkStart w:id="68" w:name="page69"/>
    <w:bookmarkEnd w:id="68"/>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4.5. </w:t>
      </w:r>
      <w:r>
        <w:rPr>
          <w:rFonts w:ascii="Times New Roman" w:cs="Times New Roman" w:eastAsia="Times New Roman" w:hAnsi="Times New Roman"/>
          <w:sz w:val="18"/>
          <w:szCs w:val="18"/>
          <w:u w:val="single" w:color="auto"/>
          <w:color w:val="auto"/>
        </w:rPr>
        <w:t>Other Officers</w:t>
      </w:r>
      <w:r>
        <w:rPr>
          <w:rFonts w:ascii="Times New Roman" w:cs="Times New Roman" w:eastAsia="Times New Roman" w:hAnsi="Times New Roman"/>
          <w:sz w:val="18"/>
          <w:szCs w:val="18"/>
          <w:color w:val="auto"/>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 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spacing w:after="0" w:line="180"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Tenure of Office</w:t>
      </w:r>
      <w:r>
        <w:rPr>
          <w:rFonts w:ascii="Times New Roman" w:cs="Times New Roman" w:eastAsia="Times New Roman" w:hAnsi="Times New Roman"/>
          <w:sz w:val="18"/>
          <w:szCs w:val="18"/>
          <w:color w:val="auto"/>
        </w:rPr>
        <w:t>. The Chairman or the President and all other officers shall hold office until their respective successors are elected and qualified or until their earlier death, resignation, retirement, disqualification or removal from office, subject to the right of the Board or authorized officer to discharge any officer at any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Stock</w:t>
      </w:r>
    </w:p>
    <w:p>
      <w:pPr>
        <w:spacing w:after="0" w:line="20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spacing w:after="0" w:line="200" w:lineRule="exact"/>
        <w:rPr>
          <w:sz w:val="20"/>
          <w:szCs w:val="20"/>
          <w:color w:val="auto"/>
        </w:rPr>
      </w:pPr>
    </w:p>
    <w:p>
      <w:pPr>
        <w:spacing w:after="0" w:line="20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u w:val="single" w:color="auto"/>
          <w:color w:val="auto"/>
        </w:rPr>
        <w:t>ARTICLE VI</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u w:val="single" w:color="auto"/>
          <w:color w:val="auto"/>
        </w:rPr>
        <w:t>Corporate Seal</w:t>
      </w:r>
    </w:p>
    <w:p>
      <w:pPr>
        <w:spacing w:after="0" w:line="207"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sectPr>
          <w:pgSz w:w="11900" w:h="16838" w:orient="portrait"/>
          <w:cols w:equalWidth="0" w:num="1">
            <w:col w:w="11020"/>
          </w:cols>
          <w:pgMar w:left="440" w:top="270" w:right="439" w:bottom="1440" w:gutter="0" w:footer="0" w:header="0"/>
        </w:sectPr>
      </w:pPr>
    </w:p>
    <w:bookmarkStart w:id="69" w:name="page70"/>
    <w:bookmarkEnd w:id="69"/>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20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spacing w:after="0" w:line="189"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spacing w:after="0" w:line="176" w:lineRule="exact"/>
        <w:rPr>
          <w:sz w:val="20"/>
          <w:szCs w:val="20"/>
          <w:color w:val="auto"/>
        </w:rPr>
      </w:pPr>
    </w:p>
    <w:p>
      <w:pPr>
        <w:ind w:right="10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Trust Files</w:t>
      </w:r>
      <w:r>
        <w:rPr>
          <w:rFonts w:ascii="Times New Roman" w:cs="Times New Roman" w:eastAsia="Times New Roman" w:hAnsi="Times New Roman"/>
          <w:sz w:val="18"/>
          <w:szCs w:val="18"/>
          <w:color w:val="auto"/>
        </w:rPr>
        <w:t>. There shall be maintained in the Association files all fiduciary records necessary to assure that its fiduciary responsibilities have been properly undertaken and discharged.</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Trust Investments</w:t>
      </w:r>
      <w:r>
        <w:rPr>
          <w:rFonts w:ascii="Times New Roman" w:cs="Times New Roman" w:eastAsia="Times New Roman" w:hAnsi="Times New Roman"/>
          <w:sz w:val="18"/>
          <w:szCs w:val="18"/>
          <w:color w:val="auto"/>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Whenever notice is required by the Articles of Association, the Bylaws or law, such notice shall be by mail, postage prepaid, e- mail, in person, or by any other means by which such notice can reasonably be expected to be received, using the address of the person to receive such notice, or such other personal data, as may appear on the records of the Association.</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Except where specified otherwise in these Bylaws, prior notice shall be proper if given not more than 30 days nor less than 10 days prior to the event for which notice is given.</w:t>
      </w:r>
    </w:p>
    <w:p>
      <w:pPr>
        <w:sectPr>
          <w:pgSz w:w="11900" w:h="16838" w:orient="portrait"/>
          <w:cols w:equalWidth="0" w:num="1">
            <w:col w:w="10960"/>
          </w:cols>
          <w:pgMar w:left="440" w:top="270" w:right="499" w:bottom="1440" w:gutter="0" w:footer="0" w:header="0"/>
        </w:sectPr>
      </w:pPr>
    </w:p>
    <w:bookmarkStart w:id="70" w:name="page71"/>
    <w:bookmarkEnd w:id="70"/>
    <w:p>
      <w:pPr>
        <w:ind w:left="496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20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ARTICLE IX</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Bylaws: Interpretation and Amendment</w:t>
      </w:r>
    </w:p>
    <w:p>
      <w:pPr>
        <w:spacing w:after="0" w:line="207"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Section 9.1. These Bylaws shall be interpreted in accordance with and subject to appropriate provisions of law, and may be added to, altered, amended, or repealed, at any regular or special meeting of the Board.</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Section 9.2. A copy of the Bylaws and all amendments shall at all times be kept in a convenient place at the principal office of the Association, and shall be open for inspection to all shareholders during Association hours.</w:t>
      </w:r>
    </w:p>
    <w:p>
      <w:pPr>
        <w:sectPr>
          <w:pgSz w:w="11900" w:h="16838" w:orient="portrait"/>
          <w:cols w:equalWidth="0" w:num="1">
            <w:col w:w="10920"/>
          </w:cols>
          <w:pgMar w:left="440" w:top="270" w:right="5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20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Association shall begin on the first day of January in each year and shall end on the thirty-first day of December following.</w:t>
      </w:r>
    </w:p>
    <w:p>
      <w:pPr>
        <w:spacing w:after="0" w:line="162"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8, 2021)</w:t>
      </w:r>
    </w:p>
    <w:p>
      <w:pPr>
        <w:sectPr>
          <w:pgSz w:w="11900" w:h="16838" w:orient="portrait"/>
          <w:cols w:equalWidth="0" w:num="1">
            <w:col w:w="11020"/>
          </w:cols>
          <w:pgMar w:left="440" w:top="270" w:right="439" w:bottom="1440" w:gutter="0" w:footer="0" w:header="0"/>
        </w:sectPr>
      </w:pPr>
    </w:p>
    <w:bookmarkStart w:id="72" w:name="page73"/>
    <w:bookmarkEnd w:id="72"/>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6</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CONSENT</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18, 2025</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Misty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Misty Gutierrez</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Vice President</w:t>
      </w:r>
    </w:p>
    <w:p>
      <w:pPr>
        <w:sectPr>
          <w:pgSz w:w="11900" w:h="16838" w:orient="portrait"/>
          <w:cols w:equalWidth="0" w:num="1">
            <w:col w:w="10920"/>
          </w:cols>
          <w:pgMar w:left="440" w:top="266" w:right="539" w:bottom="1440" w:gutter="0" w:footer="0" w:header="0"/>
        </w:sectPr>
      </w:pPr>
    </w:p>
    <w:bookmarkStart w:id="73" w:name="page74"/>
    <w:bookmarkEnd w:id="73"/>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7</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U.S. Bank Trust Company, National Association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Statement of Financial Condition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12/31/2024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5540" w:type="dxa"/>
            <w:vAlign w:val="bottom"/>
            <w:gridSpan w:val="2"/>
          </w:tcPr>
          <w:p>
            <w:pPr>
              <w:jc w:val="right"/>
              <w:ind w:right="4440"/>
              <w:spacing w:after="0"/>
              <w:rPr>
                <w:sz w:val="20"/>
                <w:szCs w:val="20"/>
                <w:color w:val="auto"/>
              </w:rPr>
            </w:pPr>
            <w:r>
              <w:rPr>
                <w:rFonts w:ascii="Times New Roman" w:cs="Times New Roman" w:eastAsia="Times New Roman" w:hAnsi="Times New Roman"/>
                <w:sz w:val="18"/>
                <w:szCs w:val="18"/>
                <w:b w:val="1"/>
                <w:bCs w:val="1"/>
                <w:color w:val="auto"/>
              </w:rPr>
              <w:t>($000’s)</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4700" w:type="dxa"/>
            <w:vAlign w:val="bottom"/>
          </w:tcPr>
          <w:p>
            <w:pPr>
              <w:spacing w:after="0"/>
              <w:rPr>
                <w:sz w:val="24"/>
                <w:szCs w:val="24"/>
                <w:color w:val="auto"/>
              </w:rPr>
            </w:pP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60" w:type="dxa"/>
            <w:vAlign w:val="bottom"/>
          </w:tcPr>
          <w:p>
            <w:pPr>
              <w:spacing w:after="0"/>
              <w:rPr>
                <w:sz w:val="24"/>
                <w:szCs w:val="24"/>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5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Balances Due From Depository Institutions</w:t>
            </w:r>
          </w:p>
        </w:tc>
        <w:tc>
          <w:tcPr>
            <w:tcW w:w="5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1,677,809</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Securities</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4,458</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 Funds</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&amp; Lease Financing Receivables</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977</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576,194</w:t>
            </w:r>
          </w:p>
        </w:tc>
      </w:tr>
      <w:tr>
        <w:trPr>
          <w:trHeight w:val="22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5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151,958</w:t>
            </w:r>
          </w:p>
        </w:tc>
        <w:tc>
          <w:tcPr>
            <w:tcW w:w="60" w:type="dxa"/>
            <w:vAlign w:val="bottom"/>
          </w:tcPr>
          <w:p>
            <w:pPr>
              <w:spacing w:after="0"/>
              <w:rPr>
                <w:sz w:val="19"/>
                <w:szCs w:val="19"/>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2,411,396</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Deposits</w:t>
            </w:r>
          </w:p>
        </w:tc>
        <w:tc>
          <w:tcPr>
            <w:tcW w:w="5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 Funds</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Demand Notes</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Trading Liabilities</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Borrowed Money</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Acceptances</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Subordinated Notes and Debentures</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2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5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230,451</w:t>
            </w:r>
          </w:p>
        </w:tc>
        <w:tc>
          <w:tcPr>
            <w:tcW w:w="60" w:type="dxa"/>
            <w:vAlign w:val="bottom"/>
          </w:tcPr>
          <w:p>
            <w:pPr>
              <w:spacing w:after="0"/>
              <w:rPr>
                <w:sz w:val="19"/>
                <w:szCs w:val="19"/>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230,451</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and Preferred Stock</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Surplus</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1,171,635</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Undivided Profits</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1,009,110</w:t>
            </w:r>
          </w:p>
        </w:tc>
      </w:tr>
      <w:tr>
        <w:trPr>
          <w:trHeight w:val="22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Minority Interest in Subsidiaries</w:t>
            </w:r>
          </w:p>
        </w:tc>
        <w:tc>
          <w:tcPr>
            <w:tcW w:w="5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r>
      <w:tr>
        <w:trPr>
          <w:trHeight w:val="216"/>
        </w:trPr>
        <w:tc>
          <w:tcPr>
            <w:tcW w:w="4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Equity Capital</w:t>
            </w:r>
          </w:p>
        </w:tc>
        <w:tc>
          <w:tcPr>
            <w:tcW w:w="5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2,180,945</w:t>
            </w:r>
          </w:p>
        </w:tc>
      </w:tr>
      <w:tr>
        <w:trPr>
          <w:trHeight w:val="23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 Capital</w:t>
            </w:r>
          </w:p>
        </w:tc>
        <w:tc>
          <w:tcPr>
            <w:tcW w:w="5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2,411,396</w:t>
            </w:r>
          </w:p>
        </w:tc>
      </w:tr>
    </w:tbl>
    <w:p>
      <w:pPr>
        <w:sectPr>
          <w:pgSz w:w="11900" w:h="16838" w:orient="portrait"/>
          <w:cols w:equalWidth="0" w:num="1">
            <w:col w:w="11020"/>
          </w:cols>
          <w:pgMar w:left="440" w:top="266" w:right="4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3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S-3ASR</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Targa Resources Corp.</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156" w:lineRule="exact"/>
        <w:rPr>
          <w:sz w:val="20"/>
          <w:szCs w:val="20"/>
          <w:color w:val="auto"/>
        </w:rPr>
      </w:pPr>
    </w:p>
    <w:tbl>
      <w:tblPr>
        <w:tblLayout w:type="fixed"/>
        <w:tblInd w:w="74" w:type="dxa"/>
        <w:tblCellMar>
          <w:top w:w="0" w:type="dxa"/>
          <w:left w:w="0" w:type="dxa"/>
          <w:bottom w:w="0" w:type="dxa"/>
          <w:right w:w="0" w:type="dxa"/>
        </w:tblCellMar>
      </w:tblPr>
      <w:tr>
        <w:trPr>
          <w:trHeight w:val="144"/>
        </w:trPr>
        <w:tc>
          <w:tcPr>
            <w:tcW w:w="1960" w:type="dxa"/>
            <w:vAlign w:val="bottom"/>
            <w:tcBorders>
              <w:top w:val="single" w:sz="8" w:color="auto"/>
              <w:left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1340" w:type="dxa"/>
            <w:vAlign w:val="bottom"/>
            <w:tcBorders>
              <w:top w:val="single" w:sz="8" w:color="auto"/>
              <w:right w:val="single" w:sz="8" w:color="auto"/>
            </w:tcBorders>
          </w:tcPr>
          <w:p>
            <w:pPr>
              <w:spacing w:after="0"/>
              <w:rPr>
                <w:sz w:val="12"/>
                <w:szCs w:val="12"/>
                <w:color w:val="auto"/>
              </w:rPr>
            </w:pPr>
          </w:p>
        </w:tc>
        <w:tc>
          <w:tcPr>
            <w:tcW w:w="132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34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7"/>
              </w:rPr>
              <w:t>Filing Fee</w:t>
            </w:r>
          </w:p>
        </w:tc>
        <w:tc>
          <w:tcPr>
            <w:tcW w:w="0" w:type="dxa"/>
            <w:vAlign w:val="bottom"/>
          </w:tcPr>
          <w:p>
            <w:pPr>
              <w:spacing w:after="0"/>
              <w:rPr>
                <w:sz w:val="1"/>
                <w:szCs w:val="1"/>
                <w:color w:val="auto"/>
              </w:rPr>
            </w:pPr>
          </w:p>
        </w:tc>
      </w:tr>
      <w:tr>
        <w:trPr>
          <w:trHeight w:val="135"/>
        </w:trPr>
        <w:tc>
          <w:tcPr>
            <w:tcW w:w="196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c>
          <w:tcPr>
            <w:tcW w:w="0" w:type="dxa"/>
            <w:vAlign w:val="bottom"/>
          </w:tcPr>
          <w:p>
            <w:pPr>
              <w:spacing w:after="0"/>
              <w:rPr>
                <w:sz w:val="1"/>
                <w:szCs w:val="1"/>
                <w:color w:val="auto"/>
              </w:rPr>
            </w:pPr>
          </w:p>
        </w:tc>
      </w:tr>
      <w:tr>
        <w:trPr>
          <w:trHeight w:val="135"/>
        </w:trPr>
        <w:tc>
          <w:tcPr>
            <w:tcW w:w="196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Paid In</w:t>
            </w:r>
          </w:p>
        </w:tc>
        <w:tc>
          <w:tcPr>
            <w:tcW w:w="0" w:type="dxa"/>
            <w:vAlign w:val="bottom"/>
          </w:tcPr>
          <w:p>
            <w:pPr>
              <w:spacing w:after="0"/>
              <w:rPr>
                <w:sz w:val="1"/>
                <w:szCs w:val="1"/>
                <w:color w:val="auto"/>
              </w:rPr>
            </w:pPr>
          </w:p>
        </w:tc>
      </w:tr>
      <w:tr>
        <w:trPr>
          <w:trHeight w:val="135"/>
        </w:trPr>
        <w:tc>
          <w:tcPr>
            <w:tcW w:w="196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Fee</w:t>
            </w:r>
          </w:p>
        </w:tc>
        <w:tc>
          <w:tcPr>
            <w:tcW w:w="7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Proposed</w:t>
            </w:r>
          </w:p>
        </w:tc>
        <w:tc>
          <w:tcPr>
            <w:tcW w:w="660" w:type="dxa"/>
            <w:vAlign w:val="bottom"/>
            <w:tcBorders>
              <w:right w:val="single" w:sz="8" w:color="auto"/>
            </w:tcBorders>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Connection</w:t>
            </w:r>
          </w:p>
        </w:tc>
        <w:tc>
          <w:tcPr>
            <w:tcW w:w="0" w:type="dxa"/>
            <w:vAlign w:val="bottom"/>
          </w:tcPr>
          <w:p>
            <w:pPr>
              <w:spacing w:after="0"/>
              <w:rPr>
                <w:sz w:val="1"/>
                <w:szCs w:val="1"/>
                <w:color w:val="auto"/>
              </w:rPr>
            </w:pPr>
          </w:p>
        </w:tc>
      </w:tr>
      <w:tr>
        <w:trPr>
          <w:trHeight w:val="135"/>
        </w:trPr>
        <w:tc>
          <w:tcPr>
            <w:tcW w:w="196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Security</w:t>
            </w: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7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Maximum</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3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with Unsold</w:t>
            </w:r>
          </w:p>
        </w:tc>
        <w:tc>
          <w:tcPr>
            <w:tcW w:w="0" w:type="dxa"/>
            <w:vAlign w:val="bottom"/>
          </w:tcPr>
          <w:p>
            <w:pPr>
              <w:spacing w:after="0"/>
              <w:rPr>
                <w:sz w:val="1"/>
                <w:szCs w:val="1"/>
                <w:color w:val="auto"/>
              </w:rPr>
            </w:pPr>
          </w:p>
        </w:tc>
      </w:tr>
      <w:tr>
        <w:trPr>
          <w:trHeight w:val="126"/>
        </w:trPr>
        <w:tc>
          <w:tcPr>
            <w:tcW w:w="1960" w:type="dxa"/>
            <w:vAlign w:val="bottom"/>
            <w:tcBorders>
              <w:left w:val="single" w:sz="8" w:color="auto"/>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rPr>
              <w:t>or Carry</w:t>
            </w:r>
          </w:p>
        </w:tc>
        <w:tc>
          <w:tcPr>
            <w:tcW w:w="74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3"/>
              </w:rPr>
              <w:t>Offering</w:t>
            </w:r>
          </w:p>
        </w:tc>
        <w:tc>
          <w:tcPr>
            <w:tcW w:w="6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Aggregate</w:t>
            </w:r>
          </w:p>
        </w:tc>
        <w:tc>
          <w:tcPr>
            <w:tcW w:w="3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Amount of</w:t>
            </w:r>
          </w:p>
        </w:tc>
        <w:tc>
          <w:tcPr>
            <w:tcW w:w="5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9"/>
              </w:rPr>
              <w:t>Forward</w:t>
            </w:r>
          </w:p>
        </w:tc>
        <w:tc>
          <w:tcPr>
            <w:tcW w:w="5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9"/>
              </w:rPr>
              <w:t>Forward</w:t>
            </w:r>
          </w:p>
        </w:tc>
        <w:tc>
          <w:tcPr>
            <w:tcW w:w="6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6"/>
              </w:rPr>
              <w:t>Initial</w:t>
            </w:r>
          </w:p>
        </w:tc>
        <w:tc>
          <w:tcPr>
            <w:tcW w:w="78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Securities to</w:t>
            </w:r>
          </w:p>
        </w:tc>
        <w:tc>
          <w:tcPr>
            <w:tcW w:w="0" w:type="dxa"/>
            <w:vAlign w:val="bottom"/>
          </w:tcPr>
          <w:p>
            <w:pPr>
              <w:spacing w:after="0"/>
              <w:rPr>
                <w:sz w:val="1"/>
                <w:szCs w:val="1"/>
                <w:color w:val="auto"/>
              </w:rPr>
            </w:pPr>
          </w:p>
        </w:tc>
      </w:tr>
      <w:tr>
        <w:trPr>
          <w:trHeight w:val="135"/>
        </w:trPr>
        <w:tc>
          <w:tcPr>
            <w:tcW w:w="196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Class</w:t>
            </w: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Form</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File</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effective</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be Carried</w:t>
            </w:r>
          </w:p>
        </w:tc>
        <w:tc>
          <w:tcPr>
            <w:tcW w:w="0" w:type="dxa"/>
            <w:vAlign w:val="bottom"/>
          </w:tcPr>
          <w:p>
            <w:pPr>
              <w:spacing w:after="0"/>
              <w:rPr>
                <w:sz w:val="1"/>
                <w:szCs w:val="1"/>
                <w:color w:val="auto"/>
              </w:rPr>
            </w:pPr>
          </w:p>
        </w:tc>
      </w:tr>
      <w:tr>
        <w:trPr>
          <w:trHeight w:val="174"/>
        </w:trPr>
        <w:tc>
          <w:tcPr>
            <w:tcW w:w="1960" w:type="dxa"/>
            <w:vAlign w:val="bottom"/>
            <w:tcBorders>
              <w:left w:val="single" w:sz="8" w:color="auto"/>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Title</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Number</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date</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Forward</w:t>
            </w:r>
          </w:p>
        </w:tc>
        <w:tc>
          <w:tcPr>
            <w:tcW w:w="0" w:type="dxa"/>
            <w:vAlign w:val="bottom"/>
          </w:tcPr>
          <w:p>
            <w:pPr>
              <w:spacing w:after="0"/>
              <w:rPr>
                <w:sz w:val="1"/>
                <w:szCs w:val="1"/>
                <w:color w:val="auto"/>
              </w:rPr>
            </w:pPr>
          </w:p>
        </w:tc>
      </w:tr>
      <w:tr>
        <w:trPr>
          <w:trHeight w:val="233"/>
        </w:trPr>
        <w:tc>
          <w:tcPr>
            <w:tcW w:w="1960" w:type="dxa"/>
            <w:vAlign w:val="bottom"/>
            <w:tcBorders>
              <w:left w:val="single" w:sz="8" w:color="auto"/>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center"/>
              <w:ind w:left="296"/>
              <w:spacing w:after="0"/>
              <w:rPr>
                <w:sz w:val="20"/>
                <w:szCs w:val="20"/>
                <w:color w:val="auto"/>
              </w:rPr>
            </w:pPr>
            <w:r>
              <w:rPr>
                <w:rFonts w:ascii="Times New Roman" w:cs="Times New Roman" w:eastAsia="Times New Roman" w:hAnsi="Times New Roman"/>
                <w:sz w:val="18"/>
                <w:szCs w:val="18"/>
                <w:color w:val="auto"/>
                <w:w w:val="99"/>
              </w:rPr>
              <w:t>Newly Registered Securities</w:t>
            </w: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9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456(b) and</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66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Securities(1)</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457(r)(2)</w:t>
            </w:r>
          </w:p>
        </w:tc>
        <w:tc>
          <w:tcPr>
            <w:tcW w:w="7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6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60" w:type="dxa"/>
            <w:vAlign w:val="bottom"/>
            <w:tcBorders>
              <w:left w:val="single" w:sz="8" w:color="auto"/>
              <w:right w:val="single" w:sz="8" w:color="auto"/>
            </w:tcBorders>
          </w:tcPr>
          <w:p>
            <w:pPr>
              <w:spacing w:after="0"/>
              <w:rPr>
                <w:sz w:val="17"/>
                <w:szCs w:val="17"/>
                <w:color w:val="auto"/>
              </w:rPr>
            </w:pPr>
          </w:p>
        </w:tc>
        <w:tc>
          <w:tcPr>
            <w:tcW w:w="6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Equity</w:t>
            </w:r>
          </w:p>
        </w:tc>
        <w:tc>
          <w:tcPr>
            <w:tcW w:w="134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Preferred</w:t>
            </w:r>
          </w:p>
        </w:tc>
        <w:tc>
          <w:tcPr>
            <w:tcW w:w="132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Rule 456(b) and</w:t>
            </w:r>
          </w:p>
        </w:tc>
        <w:tc>
          <w:tcPr>
            <w:tcW w:w="74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(3)</w:t>
            </w:r>
          </w:p>
        </w:tc>
        <w:tc>
          <w:tcPr>
            <w:tcW w:w="64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(3)</w:t>
            </w:r>
          </w:p>
        </w:tc>
        <w:tc>
          <w:tcPr>
            <w:tcW w:w="6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5"/>
              </w:rPr>
              <w:t>(3)</w:t>
            </w:r>
          </w:p>
        </w:tc>
        <w:tc>
          <w:tcPr>
            <w:tcW w:w="34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5"/>
              </w:rPr>
              <w:t>(3)</w:t>
            </w:r>
          </w:p>
        </w:tc>
        <w:tc>
          <w:tcPr>
            <w:tcW w:w="7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(3)</w:t>
            </w:r>
          </w:p>
        </w:tc>
        <w:tc>
          <w:tcPr>
            <w:tcW w:w="54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tcBorders>
              <w:left w:val="single" w:sz="8" w:color="auto"/>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Stock(1)</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457(r)(2)</w:t>
            </w:r>
          </w:p>
        </w:tc>
        <w:tc>
          <w:tcPr>
            <w:tcW w:w="7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6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60" w:type="dxa"/>
            <w:vAlign w:val="bottom"/>
            <w:tcBorders>
              <w:left w:val="single" w:sz="8" w:color="auto"/>
              <w:right w:val="single" w:sz="8" w:color="auto"/>
            </w:tcBorders>
          </w:tcPr>
          <w:p>
            <w:pPr>
              <w:spacing w:after="0"/>
              <w:rPr>
                <w:sz w:val="17"/>
                <w:szCs w:val="17"/>
                <w:color w:val="auto"/>
              </w:rPr>
            </w:pPr>
          </w:p>
        </w:tc>
        <w:tc>
          <w:tcPr>
            <w:tcW w:w="6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Equity</w:t>
            </w:r>
          </w:p>
        </w:tc>
        <w:tc>
          <w:tcPr>
            <w:tcW w:w="134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Common Stock,</w:t>
            </w:r>
          </w:p>
        </w:tc>
        <w:tc>
          <w:tcPr>
            <w:tcW w:w="132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Rule 456(b) and</w:t>
            </w:r>
          </w:p>
        </w:tc>
        <w:tc>
          <w:tcPr>
            <w:tcW w:w="74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(3)</w:t>
            </w:r>
          </w:p>
        </w:tc>
        <w:tc>
          <w:tcPr>
            <w:tcW w:w="64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(3)</w:t>
            </w:r>
          </w:p>
        </w:tc>
        <w:tc>
          <w:tcPr>
            <w:tcW w:w="6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5"/>
              </w:rPr>
              <w:t>(3)</w:t>
            </w:r>
          </w:p>
        </w:tc>
        <w:tc>
          <w:tcPr>
            <w:tcW w:w="34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5"/>
              </w:rPr>
              <w:t>(3)</w:t>
            </w:r>
          </w:p>
        </w:tc>
        <w:tc>
          <w:tcPr>
            <w:tcW w:w="7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(3)</w:t>
            </w:r>
          </w:p>
        </w:tc>
        <w:tc>
          <w:tcPr>
            <w:tcW w:w="54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 value $0.001</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457(r)(2)</w:t>
            </w:r>
          </w:p>
        </w:tc>
        <w:tc>
          <w:tcPr>
            <w:tcW w:w="7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6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 share(1)</w:t>
            </w:r>
          </w:p>
        </w:tc>
        <w:tc>
          <w:tcPr>
            <w:tcW w:w="13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6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Depository</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456(b) and</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60" w:type="dxa"/>
            <w:vAlign w:val="bottom"/>
            <w:tcBorders>
              <w:left w:val="single" w:sz="8" w:color="auto"/>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Shares(1)(4)</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457(r)(2)</w:t>
            </w:r>
          </w:p>
        </w:tc>
        <w:tc>
          <w:tcPr>
            <w:tcW w:w="7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6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60" w:type="dxa"/>
            <w:vAlign w:val="bottom"/>
            <w:tcBorders>
              <w:left w:val="single" w:sz="8" w:color="auto"/>
              <w:right w:val="single" w:sz="8" w:color="auto"/>
            </w:tcBorders>
          </w:tcPr>
          <w:p>
            <w:pPr>
              <w:spacing w:after="0"/>
              <w:rPr>
                <w:sz w:val="17"/>
                <w:szCs w:val="17"/>
                <w:color w:val="auto"/>
              </w:rPr>
            </w:pPr>
          </w:p>
        </w:tc>
        <w:tc>
          <w:tcPr>
            <w:tcW w:w="6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Debt</w:t>
            </w:r>
          </w:p>
        </w:tc>
        <w:tc>
          <w:tcPr>
            <w:tcW w:w="134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Guarantees of</w:t>
            </w:r>
          </w:p>
        </w:tc>
        <w:tc>
          <w:tcPr>
            <w:tcW w:w="132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457(n)</w:t>
            </w:r>
          </w:p>
        </w:tc>
        <w:tc>
          <w:tcPr>
            <w:tcW w:w="74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6"/>
              </w:rPr>
              <w:t>N/A</w:t>
            </w:r>
          </w:p>
        </w:tc>
        <w:tc>
          <w:tcPr>
            <w:tcW w:w="64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6"/>
              </w:rPr>
              <w:t>N/A</w:t>
            </w:r>
          </w:p>
        </w:tc>
        <w:tc>
          <w:tcPr>
            <w:tcW w:w="6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N/A</w:t>
            </w:r>
          </w:p>
        </w:tc>
        <w:tc>
          <w:tcPr>
            <w:tcW w:w="3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6"/>
              </w:rPr>
              <w:t>N/A</w:t>
            </w:r>
          </w:p>
        </w:tc>
        <w:tc>
          <w:tcPr>
            <w:tcW w:w="54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13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6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Securities(1)(5)</w:t>
            </w:r>
          </w:p>
        </w:tc>
        <w:tc>
          <w:tcPr>
            <w:tcW w:w="13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Fees</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Previously</w:t>
            </w: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66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6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960" w:type="dxa"/>
            <w:vAlign w:val="bottom"/>
            <w:tcBorders>
              <w:left w:val="single" w:sz="8" w:color="auto"/>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center"/>
              <w:ind w:left="316"/>
              <w:spacing w:after="0"/>
              <w:rPr>
                <w:sz w:val="20"/>
                <w:szCs w:val="20"/>
                <w:color w:val="auto"/>
              </w:rPr>
            </w:pPr>
            <w:r>
              <w:rPr>
                <w:rFonts w:ascii="Times New Roman" w:cs="Times New Roman" w:eastAsia="Times New Roman" w:hAnsi="Times New Roman"/>
                <w:sz w:val="18"/>
                <w:szCs w:val="18"/>
                <w:color w:val="auto"/>
                <w:w w:val="99"/>
              </w:rPr>
              <w:t>Carry Forward Securities</w:t>
            </w: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9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Carry</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Forward</w:t>
            </w: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Securities</w:t>
            </w:r>
          </w:p>
        </w:tc>
        <w:tc>
          <w:tcPr>
            <w:tcW w:w="66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6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96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Offering Amounts </w:t>
            </w: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96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Fees Previously Paid </w:t>
            </w: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96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Fee Offsets </w:t>
            </w: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96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Net Fee Due </w:t>
            </w: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324" w:hanging="324"/>
        <w:spacing w:after="0"/>
        <w:tabs>
          <w:tab w:leader="none" w:pos="324"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securities registered hereunder may be sold separately or as units with other securities registered hereunder.</w:t>
      </w:r>
    </w:p>
    <w:p>
      <w:pPr>
        <w:spacing w:after="0" w:line="86" w:lineRule="exact"/>
        <w:rPr>
          <w:rFonts w:ascii="Times New Roman" w:cs="Times New Roman" w:eastAsia="Times New Roman" w:hAnsi="Times New Roman"/>
          <w:sz w:val="16"/>
          <w:szCs w:val="16"/>
          <w:color w:val="auto"/>
        </w:rPr>
      </w:pPr>
    </w:p>
    <w:p>
      <w:pPr>
        <w:ind w:left="324" w:right="640" w:hanging="324"/>
        <w:spacing w:after="0" w:line="298" w:lineRule="auto"/>
        <w:tabs>
          <w:tab w:leader="none" w:pos="324"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reliance on Rule 456(b) and Rule 457(r) under the Securities Act of 1933, as amended (the “Securities Act”), the registrants hereby defer payment of the registration fee required in connection with this Registration Statement.</w:t>
      </w:r>
    </w:p>
    <w:p>
      <w:pPr>
        <w:spacing w:after="0" w:line="15" w:lineRule="exact"/>
        <w:rPr>
          <w:rFonts w:ascii="Times New Roman" w:cs="Times New Roman" w:eastAsia="Times New Roman" w:hAnsi="Times New Roman"/>
          <w:sz w:val="16"/>
          <w:szCs w:val="16"/>
          <w:color w:val="auto"/>
        </w:rPr>
      </w:pPr>
    </w:p>
    <w:p>
      <w:pPr>
        <w:ind w:left="324" w:right="100" w:hanging="324"/>
        <w:spacing w:after="0" w:line="275" w:lineRule="auto"/>
        <w:tabs>
          <w:tab w:leader="none" w:pos="324"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being registered hereunder such indeterminate number or amount of debt securities, preferred stock, common stock, depositary shares and warrants as may from time to time be issued by the registrant at indeterminate prices and as may be issuable upon conversion, redemption, exchange, exercise or settlement of any securities registered hereunder, including pursuant to the exercise of any warrants previously issued by the registrant and under any applicable antidilution provisions.</w:t>
      </w:r>
    </w:p>
    <w:p>
      <w:pPr>
        <w:spacing w:after="0" w:line="34" w:lineRule="exact"/>
        <w:rPr>
          <w:rFonts w:ascii="Times New Roman" w:cs="Times New Roman" w:eastAsia="Times New Roman" w:hAnsi="Times New Roman"/>
          <w:sz w:val="16"/>
          <w:szCs w:val="16"/>
          <w:color w:val="auto"/>
        </w:rPr>
      </w:pPr>
    </w:p>
    <w:p>
      <w:pPr>
        <w:ind w:left="324" w:right="60" w:hanging="324"/>
        <w:spacing w:after="0" w:line="281" w:lineRule="auto"/>
        <w:tabs>
          <w:tab w:leader="none" w:pos="324"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depositary shares being registered will be evidenced by depositary receipts issued under a depositary agreement. If Targa Resources Corp. elects to offer fractional interests in shares of preferred stock to the public, depositary receipts will be distributed to the investors purchasing the fractional interests, and the shares will be issued to the depositary under the depositary agreement.</w:t>
      </w:r>
    </w:p>
    <w:p>
      <w:pPr>
        <w:spacing w:after="0" w:line="28" w:lineRule="exact"/>
        <w:rPr>
          <w:rFonts w:ascii="Times New Roman" w:cs="Times New Roman" w:eastAsia="Times New Roman" w:hAnsi="Times New Roman"/>
          <w:sz w:val="16"/>
          <w:szCs w:val="16"/>
          <w:color w:val="auto"/>
        </w:rPr>
      </w:pPr>
    </w:p>
    <w:p>
      <w:pPr>
        <w:ind w:left="324" w:right="20" w:hanging="324"/>
        <w:spacing w:after="0" w:line="298" w:lineRule="auto"/>
        <w:tabs>
          <w:tab w:leader="none" w:pos="324"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Subsidiaries of Targa Resources Corp. named as co-registrants may fully and unconditionally guarantee on an unsecured basis the debt securities of Targa Resources Corp. In accordance with Rule 457(n) under the Securities Act, no separate fee is payable with respect to the guarantees of debt securities being registered.</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1)"/>
      <w:numFmt w:val="decimal"/>
      <w:start w:val="1"/>
    </w:lvl>
  </w:abstractNum>
  <w:abstractNum w:abstractNumId="7">
    <w:nsid w:val="5072367"/>
    <w:multiLevelType w:val="hybridMultilevel"/>
    <w:lvl w:ilvl="0">
      <w:lvlJc w:val="left"/>
      <w:lvlText w:val="(%1)"/>
      <w:numFmt w:val="decimal"/>
      <w:start w:val="3"/>
    </w:lvl>
  </w:abstractNum>
  <w:abstractNum w:abstractNumId="8">
    <w:nsid w:val="3804823E"/>
    <w:multiLevelType w:val="hybridMultilevel"/>
    <w:lvl w:ilvl="0">
      <w:lvlJc w:val="left"/>
      <w:lvlText w:val="•"/>
      <w:numFmt w:val="bullet"/>
      <w:start w:val="1"/>
    </w:lvl>
    <w:lvl w:ilvl="1">
      <w:lvlJc w:val="left"/>
      <w:lvlText w:val="•"/>
      <w:numFmt w:val="bullet"/>
      <w:start w:val="1"/>
    </w:lvl>
  </w:abstractNum>
  <w:abstractNum w:abstractNumId="9">
    <w:nsid w:val="77465F01"/>
    <w:multiLevelType w:val="hybridMultilevel"/>
    <w:lvl w:ilvl="0">
      <w:lvlJc w:val="left"/>
      <w:lvlText w:val="•"/>
      <w:numFmt w:val="bullet"/>
      <w:start w:val="1"/>
    </w:lvl>
    <w:lvl w:ilvl="1">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1)"/>
      <w:numFmt w:val="decimal"/>
      <w:start w:val="1"/>
    </w:lvl>
  </w:abstractNum>
  <w:abstractNum w:abstractNumId="21">
    <w:nsid w:val="2A487CB0"/>
    <w:multiLevelType w:val="hybridMultilevel"/>
    <w:lvl w:ilvl="0">
      <w:lvlJc w:val="left"/>
      <w:lvlText w:val="(%1)"/>
      <w:numFmt w:val="decimal"/>
      <w:start w:val="4"/>
    </w:lvl>
  </w:abstractNum>
  <w:abstractNum w:abstractNumId="22">
    <w:nsid w:val="1D4ED43B"/>
    <w:multiLevelType w:val="hybridMultilevel"/>
    <w:lvl w:ilvl="0">
      <w:lvlJc w:val="left"/>
      <w:lvlText w:val="(%1)"/>
      <w:numFmt w:val="decimal"/>
      <w:start w:val="1"/>
    </w:lvl>
  </w:abstractNum>
  <w:abstractNum w:abstractNumId="23">
    <w:nsid w:val="725A06FB"/>
    <w:multiLevelType w:val="hybridMultilevel"/>
    <w:lvl w:ilvl="0">
      <w:lvlJc w:val="left"/>
      <w:lvlText w:val="(%1)"/>
      <w:numFmt w:val="decimal"/>
      <w:start w:val="1"/>
    </w:lvl>
  </w:abstractNum>
  <w:abstractNum w:abstractNumId="24">
    <w:nsid w:val="2CD89A32"/>
    <w:multiLevelType w:val="hybridMultilevel"/>
    <w:lvl w:ilvl="0">
      <w:lvlJc w:val="left"/>
      <w:lvlText w:val="(%1)"/>
      <w:numFmt w:val="decimal"/>
      <w:start w:val="3"/>
    </w:lvl>
  </w:abstractNum>
  <w:abstractNum w:abstractNumId="25">
    <w:nsid w:val="57E4CCAF"/>
    <w:multiLevelType w:val="hybridMultilevel"/>
    <w:lvl w:ilvl="0">
      <w:lvlJc w:val="left"/>
      <w:lvlText w:val="(%1)"/>
      <w:numFmt w:val="decimal"/>
      <w:start w:val="16"/>
    </w:lvl>
  </w:abstractNum>
  <w:abstractNum w:abstractNumId="26">
    <w:nsid w:val="7A6D8D3C"/>
    <w:multiLevelType w:val="hybridMultilevel"/>
    <w:lvl w:ilvl="0">
      <w:lvlJc w:val="left"/>
      <w:lvlText w:val="(%1)"/>
      <w:numFmt w:val="decimal"/>
      <w:start w:val="19"/>
    </w:lvl>
  </w:abstractNum>
  <w:abstractNum w:abstractNumId="27">
    <w:nsid w:val="4B588F54"/>
    <w:multiLevelType w:val="hybridMultilevel"/>
    <w:lvl w:ilvl="0">
      <w:lvlJc w:val="left"/>
      <w:lvlText w:val="(%1)"/>
      <w:numFmt w:val="decimal"/>
      <w:start w:val="1"/>
    </w:lvl>
  </w:abstractNum>
  <w:abstractNum w:abstractNumId="28">
    <w:nsid w:val="542289EC"/>
    <w:multiLevelType w:val="hybridMultilevel"/>
    <w:lvl w:ilvl="0">
      <w:lvlJc w:val="left"/>
      <w:lvlText w:val="(%1)"/>
      <w:numFmt w:val="lowerLetter"/>
      <w:start w:val="1"/>
    </w:lvl>
  </w:abstractNum>
  <w:abstractNum w:abstractNumId="29">
    <w:nsid w:val="6DE91B18"/>
    <w:multiLevelType w:val="hybridMultilevel"/>
    <w:lvl w:ilvl="0">
      <w:lvlJc w:val="left"/>
      <w:lvlText w:val="(%1)"/>
      <w:numFmt w:val="lowerRoman"/>
      <w:start w:val="4"/>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lvl w:ilvl="1">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1)"/>
      <w:numFmt w:val="decimal"/>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1)"/>
      <w:numFmt w:val="lowerRoman"/>
      <w:start w:val="2"/>
    </w:lvl>
  </w:abstractNum>
  <w:abstractNum w:abstractNumId="42">
    <w:nsid w:val="520EEDD1"/>
    <w:multiLevelType w:val="hybridMultilevel"/>
    <w:lvl w:ilvl="0">
      <w:lvlJc w:val="left"/>
      <w:lvlText w:val="(%1)"/>
      <w:numFmt w:val="lowerLetter"/>
      <w:start w:val="1"/>
    </w:lvl>
  </w:abstractNum>
  <w:abstractNum w:abstractNumId="43">
    <w:nsid w:val="374A3FE6"/>
    <w:multiLevelType w:val="hybridMultilevel"/>
    <w:lvl w:ilvl="0">
      <w:lvlJc w:val="left"/>
      <w:lvlText w:val="%1."/>
      <w:numFmt w:val="decimal"/>
      <w:start w:val="1"/>
    </w:lvl>
    <w:lvl w:ilvl="1">
      <w:lvlJc w:val="left"/>
      <w:lvlText w:val="(%2)"/>
      <w:numFmt w:val="lowerRoman"/>
      <w:start w:val="1"/>
    </w:lvl>
  </w:abstractNum>
  <w:abstractNum w:abstractNumId="44">
    <w:nsid w:val="4F4EF005"/>
    <w:multiLevelType w:val="hybridMultilevel"/>
    <w:lvl w:ilvl="0">
      <w:lvlJc w:val="left"/>
      <w:lvlText w:val="%1."/>
      <w:numFmt w:val="decimal"/>
      <w:start w:val="2"/>
    </w:lvl>
    <w:lvl w:ilvl="1">
      <w:lvlJc w:val="left"/>
      <w:lvlText w:val="(%2)"/>
      <w:numFmt w:val="lowerRoman"/>
      <w:start w:val="1"/>
    </w:lvl>
  </w:abstractNum>
  <w:abstractNum w:abstractNumId="45">
    <w:nsid w:val="23F9C13C"/>
    <w:multiLevelType w:val="hybridMultilevel"/>
    <w:lvl w:ilvl="0">
      <w:lvlJc w:val="left"/>
      <w:lvlText w:val="%1."/>
      <w:numFmt w:val="decimal"/>
      <w:start w:val="5"/>
    </w:lvl>
    <w:lvl w:ilvl="1">
      <w:lvlJc w:val="left"/>
      <w:lvlText w:val="(%2)"/>
      <w:numFmt w:val="lowerRoman"/>
      <w:start w:val="1"/>
    </w:lvl>
  </w:abstractNum>
  <w:abstractNum w:abstractNumId="46">
    <w:nsid w:val="649BB77C"/>
    <w:multiLevelType w:val="hybridMultilevel"/>
    <w:lvl w:ilvl="0">
      <w:lvlJc w:val="left"/>
      <w:lvlText w:val=" "/>
      <w:numFmt w:val="bullet"/>
      <w:start w:val="1"/>
    </w:lvl>
  </w:abstractNum>
  <w:abstractNum w:abstractNumId="47">
    <w:nsid w:val="275AC794"/>
    <w:multiLevelType w:val="hybridMultilevel"/>
    <w:lvl w:ilvl="0">
      <w:lvlJc w:val="left"/>
      <w:lvlText w:val=" "/>
      <w:numFmt w:val="bullet"/>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1)"/>
      <w:numFmt w:val="lowerRoman"/>
      <w:start w:val="6"/>
    </w:lvl>
  </w:abstractNum>
  <w:abstractNum w:abstractNumId="51">
    <w:nsid w:val="235BA861"/>
    <w:multiLevelType w:val="hybridMultilevel"/>
    <w:lvl w:ilvl="0">
      <w:lvlJc w:val="left"/>
      <w:lvlText w:val="(%1)"/>
      <w:numFmt w:val="lowerRoman"/>
      <w:start w:val="8"/>
    </w:lvl>
  </w:abstractNum>
  <w:abstractNum w:abstractNumId="52">
    <w:nsid w:val="47398C89"/>
    <w:multiLevelType w:val="hybridMultilevel"/>
    <w:lvl w:ilvl="0">
      <w:lvlJc w:val="left"/>
      <w:lvlText w:val="(%1)"/>
      <w:numFmt w:val="lowerRoman"/>
      <w:start w:val="10"/>
    </w:lvl>
  </w:abstractNum>
  <w:abstractNum w:abstractNumId="53">
    <w:nsid w:val="354FE9F9"/>
    <w:multiLevelType w:val="hybridMultilevel"/>
    <w:lvl w:ilvl="0">
      <w:lvlJc w:val="left"/>
      <w:lvlText w:val="%1."/>
      <w:numFmt w:val="decimal"/>
      <w:start w:val="1"/>
    </w:lvl>
  </w:abstractNum>
  <w:abstractNum w:abstractNumId="54">
    <w:nsid w:val="15B5AF5C"/>
    <w:multiLevelType w:val="hybridMultilevel"/>
    <w:lvl w:ilvl="0">
      <w:lvlJc w:val="left"/>
      <w:lvlText w:val="%1."/>
      <w:numFmt w:val="decimal"/>
      <w:start w:val="3"/>
    </w:lvl>
  </w:abstractNum>
  <w:abstractNum w:abstractNumId="55">
    <w:nsid w:val="741226BB"/>
    <w:multiLevelType w:val="hybridMultilevel"/>
    <w:lvl w:ilvl="0">
      <w:lvlJc w:val="left"/>
      <w:lvlText w:val="(%1)"/>
      <w:numFmt w:val="decimal"/>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1."/>
      <w:numFmt w:val="decimal"/>
      <w:start w:val="1"/>
    </w:lvl>
  </w:abstractNum>
  <w:abstractNum w:abstractNumId="58">
    <w:nsid w:val="3F6AB60F"/>
    <w:multiLevelType w:val="hybridMultilevel"/>
    <w:lvl w:ilvl="0">
      <w:lvlJc w:val="left"/>
      <w:lvlText w:val="(%1)"/>
      <w:numFmt w:val="lowerRoman"/>
      <w:start w:val="3"/>
    </w:lvl>
  </w:abstractNum>
  <w:abstractNum w:abstractNumId="59">
    <w:nsid w:val="61574095"/>
    <w:multiLevelType w:val="hybridMultilevel"/>
    <w:lvl w:ilvl="0">
      <w:lvlJc w:val="left"/>
      <w:lvlText w:val="(%1)"/>
      <w:numFmt w:val="decimal"/>
      <w:start w:val="1"/>
    </w:lvl>
  </w:abstractNum>
  <w:abstractNum w:abstractNumId="60">
    <w:nsid w:val="7E0C57B1"/>
    <w:multiLevelType w:val="hybridMultilevel"/>
    <w:lvl w:ilvl="0">
      <w:lvlJc w:val="left"/>
      <w:lvlText w:val="(%1)"/>
      <w:numFmt w:val="decimal"/>
      <w:start w:val="8"/>
    </w:lvl>
  </w:abstractNum>
  <w:abstractNum w:abstractNumId="61">
    <w:nsid w:val="77AE35EB"/>
    <w:multiLevelType w:val="hybridMultilevel"/>
    <w:lvl w:ilvl="0">
      <w:lvlJc w:val="left"/>
      <w:lvlText w:val="%1."/>
      <w:numFmt w:val="decimal"/>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71"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jpeg"/><Relationship Id="rId84" Type="http://schemas.openxmlformats.org/officeDocument/2006/relationships/image" Target="media/image62.png"/><Relationship Id="rId85" Type="http://schemas.openxmlformats.org/officeDocument/2006/relationships/image" Target="media/image63.jpeg"/><Relationship Id="rId86" Type="http://schemas.openxmlformats.org/officeDocument/2006/relationships/image" Target="media/image64.png"/><Relationship Id="rId87" Type="http://schemas.openxmlformats.org/officeDocument/2006/relationships/image" Target="media/image65.jpeg"/><Relationship Id="rId88" Type="http://schemas.openxmlformats.org/officeDocument/2006/relationships/image" Target="media/image66.png"/><Relationship Id="rId89" Type="http://schemas.openxmlformats.org/officeDocument/2006/relationships/image" Target="media/image67.jpeg"/><Relationship Id="rId90" Type="http://schemas.openxmlformats.org/officeDocument/2006/relationships/image" Target="media/image68.png"/><Relationship Id="rId91" Type="http://schemas.openxmlformats.org/officeDocument/2006/relationships/image" Target="media/image69.jpeg"/><Relationship Id="rId92" Type="http://schemas.openxmlformats.org/officeDocument/2006/relationships/image" Target="media/image70.png"/><Relationship Id="rId93" Type="http://schemas.openxmlformats.org/officeDocument/2006/relationships/image" Target="media/image71.png"/><Relationship Id="rId94" Type="http://schemas.openxmlformats.org/officeDocument/2006/relationships/image" Target="media/image72.png"/><Relationship Id="rId95"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98" Type="http://schemas.openxmlformats.org/officeDocument/2006/relationships/image" Target="media/image76.png"/><Relationship Id="rId99" Type="http://schemas.openxmlformats.org/officeDocument/2006/relationships/image" Target="media/image77.png"/><Relationship Id="rId100" Type="http://schemas.openxmlformats.org/officeDocument/2006/relationships/image" Target="media/image78.png"/><Relationship Id="rId101" Type="http://schemas.openxmlformats.org/officeDocument/2006/relationships/image" Target="media/image79.png"/><Relationship Id="rId102"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jpe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24" Type="http://schemas.openxmlformats.org/officeDocument/2006/relationships/hyperlink" Target="http://www.sec.gov/ix?doc=/Archives/edgar/data/1389170/000095017025023983/trgp-20241231.htm" TargetMode="External"/><Relationship Id="rId25" Type="http://schemas.openxmlformats.org/officeDocument/2006/relationships/hyperlink" Target="http://www.sec.gov/ix?doc=/Archives/edgar/data/1389170/000119312525030752/d837589d8k.htm" TargetMode="External"/><Relationship Id="rId26" Type="http://schemas.openxmlformats.org/officeDocument/2006/relationships/hyperlink" Target="http://www.sec.gov/ix?doc=/Archives/edgar/data/1389170/000119312525035212/d921171d8k.htm" TargetMode="External"/><Relationship Id="rId27" Type="http://schemas.openxmlformats.org/officeDocument/2006/relationships/hyperlink" Target="http://www.sec.gov/ix?doc=/Archives/edgar/data/1389170/000119312525039300/d154736d8k.htm" TargetMode="External"/><Relationship Id="rId28" Type="http://schemas.openxmlformats.org/officeDocument/2006/relationships/hyperlink" Target="http://www.sec.gov/Archives/edgar/data/1389170/000095012310110293/h75749de8va12b.htm" TargetMode="External"/><Relationship Id="rId29" Type="http://schemas.openxmlformats.org/officeDocument/2006/relationships/hyperlink" Target="http://www.sec.gov/Archives/edgar/data/1389170/000095017025023983/trgp-ex4_4.htm" TargetMode="External"/><Relationship Id="rId63" Type="http://schemas.openxmlformats.org/officeDocument/2006/relationships/hyperlink" Target="http://www.sec.gov/Archives/edgar/data/1389170/000095012310114218/h78297exv3w1.htm" TargetMode="External"/><Relationship Id="rId64" Type="http://schemas.openxmlformats.org/officeDocument/2006/relationships/hyperlink" Target="http://www.sec.gov/Archives/edgar/data/1389170/000119312521173640/d140306dex31.htm" TargetMode="External"/><Relationship Id="rId65" Type="http://schemas.openxmlformats.org/officeDocument/2006/relationships/hyperlink" Target="http://www.sec.gov/Archives/edgar/data/1389170/000119312516508783/d198929dex31.htm" TargetMode="External"/><Relationship Id="rId66" Type="http://schemas.openxmlformats.org/officeDocument/2006/relationships/hyperlink" Target="http://www.sec.gov/Archives/edgar/data/1389170/000119312523293420/d583397dex31.htm" TargetMode="External"/><Relationship Id="rId67" Type="http://schemas.openxmlformats.org/officeDocument/2006/relationships/hyperlink" Target="http://www.sec.gov/Archives/edgar/data/1389170/000095012310104672/h75749a3exv4w1.htm" TargetMode="External"/><Relationship Id="rId68" Type="http://schemas.openxmlformats.org/officeDocument/2006/relationships/hyperlink" Target="http://www.sec.gov/Archives/edgar/data/1389170/000119312516508783/d198929dex42.htm" TargetMode="External"/><Relationship Id="rId69" Type="http://schemas.openxmlformats.org/officeDocument/2006/relationships/hyperlink" Target="http://www.sec.gov/Archives/edgar/data/1389170/000156459016027687/trgp-ex42_524.htm" TargetMode="External"/><Relationship Id="rId70" Type="http://schemas.openxmlformats.org/officeDocument/2006/relationships/hyperlink" Target="http://www.sec.gov/Archives/edgar/data/1389170/000119312522097513/d343533dex41.htm" TargetMode="External"/><Relationship Id="rId72" Type="http://schemas.openxmlformats.org/officeDocument/2006/relationships/hyperlink" Target="http://www.sec.gov/Archives/edgar/data/1389170/000095017025023983/trgp-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2025-03-21T16:18:51Z</dcterms:created>
  <dcterms:modified xsi:type="dcterms:W3CDTF">2025-03-21T16:18:51Z</dcterms:modified>
</cp:coreProperties>
</file>